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40C63" w:rsidR="00046C21" w:rsidRDefault="007A3D19" w14:paraId="7D68BA4B" w14:textId="77777777">
      <w:pPr>
        <w:spacing w:after="288" w:line="259" w:lineRule="auto"/>
        <w:ind w:left="0" w:firstLine="0"/>
      </w:pPr>
      <w:r w:rsidRPr="00E40C63">
        <w:rPr>
          <w:rFonts w:eastAsia="Times New Roman"/>
        </w:rPr>
        <w:t xml:space="preserve"> </w:t>
      </w:r>
    </w:p>
    <w:p w:rsidRPr="00E40C63" w:rsidR="00046C21" w:rsidRDefault="007A3D19" w14:paraId="35BFD824" w14:textId="77777777">
      <w:pPr>
        <w:spacing w:after="0" w:line="259" w:lineRule="auto"/>
        <w:ind w:left="10" w:right="310" w:hanging="10"/>
        <w:jc w:val="right"/>
      </w:pPr>
      <w:r w:rsidRPr="00E40C63">
        <w:rPr>
          <w:noProof/>
        </w:rPr>
        <w:drawing>
          <wp:anchor distT="0" distB="0" distL="114300" distR="114300" simplePos="0" relativeHeight="251658240" behindDoc="0" locked="0" layoutInCell="1" allowOverlap="0" wp14:anchorId="4297FCFC" wp14:editId="5BD114B4">
            <wp:simplePos x="0" y="0"/>
            <wp:positionH relativeFrom="column">
              <wp:posOffset>12</wp:posOffset>
            </wp:positionH>
            <wp:positionV relativeFrom="paragraph">
              <wp:posOffset>-203149</wp:posOffset>
            </wp:positionV>
            <wp:extent cx="1581912" cy="1524000"/>
            <wp:effectExtent l="0" t="0" r="0" b="0"/>
            <wp:wrapSquare wrapText="bothSides"/>
            <wp:docPr id="6856" name="Picture 6856"/>
            <wp:cNvGraphicFramePr/>
            <a:graphic xmlns:a="http://schemas.openxmlformats.org/drawingml/2006/main">
              <a:graphicData uri="http://schemas.openxmlformats.org/drawingml/2006/picture">
                <pic:pic xmlns:pic="http://schemas.openxmlformats.org/drawingml/2006/picture">
                  <pic:nvPicPr>
                    <pic:cNvPr id="6856" name="Picture 6856"/>
                    <pic:cNvPicPr/>
                  </pic:nvPicPr>
                  <pic:blipFill>
                    <a:blip r:embed="rId12"/>
                    <a:stretch>
                      <a:fillRect/>
                    </a:stretch>
                  </pic:blipFill>
                  <pic:spPr>
                    <a:xfrm>
                      <a:off x="0" y="0"/>
                      <a:ext cx="1581912" cy="1524000"/>
                    </a:xfrm>
                    <a:prstGeom prst="rect">
                      <a:avLst/>
                    </a:prstGeom>
                  </pic:spPr>
                </pic:pic>
              </a:graphicData>
            </a:graphic>
          </wp:anchor>
        </w:drawing>
      </w:r>
      <w:r w:rsidRPr="00E40C63">
        <w:rPr>
          <w:b/>
          <w:sz w:val="28"/>
        </w:rPr>
        <w:t xml:space="preserve">Safeguarding Adults Review (SAR) </w:t>
      </w:r>
    </w:p>
    <w:p w:rsidRPr="00E40C63" w:rsidR="00046C21" w:rsidRDefault="007A3D19" w14:paraId="1BD3B186" w14:textId="77777777">
      <w:pPr>
        <w:spacing w:after="0" w:line="259" w:lineRule="auto"/>
        <w:ind w:left="0" w:right="245" w:firstLine="0"/>
        <w:jc w:val="right"/>
      </w:pPr>
      <w:r w:rsidRPr="00E40C63">
        <w:rPr>
          <w:b/>
          <w:sz w:val="28"/>
        </w:rPr>
        <w:t xml:space="preserve"> </w:t>
      </w:r>
    </w:p>
    <w:p w:rsidRPr="00E40C63" w:rsidR="00046C21" w:rsidRDefault="0016403C" w14:paraId="234E305B" w14:textId="2A02A036">
      <w:pPr>
        <w:spacing w:after="0" w:line="259" w:lineRule="auto"/>
        <w:ind w:left="10" w:right="310" w:hanging="10"/>
        <w:jc w:val="right"/>
      </w:pPr>
      <w:r w:rsidRPr="0016403C">
        <w:rPr>
          <w:b/>
          <w:color w:val="FF0000"/>
          <w:sz w:val="28"/>
        </w:rPr>
        <w:t>[Insert Name</w:t>
      </w:r>
      <w:r w:rsidR="00D034F3">
        <w:rPr>
          <w:b/>
          <w:color w:val="FF0000"/>
          <w:sz w:val="28"/>
        </w:rPr>
        <w:t>(s)</w:t>
      </w:r>
      <w:r w:rsidRPr="0016403C">
        <w:rPr>
          <w:b/>
          <w:color w:val="FF0000"/>
          <w:sz w:val="28"/>
        </w:rPr>
        <w:t>]</w:t>
      </w:r>
      <w:r w:rsidRPr="0016403C" w:rsidR="007A3D19">
        <w:rPr>
          <w:b/>
          <w:color w:val="FF0000"/>
          <w:sz w:val="28"/>
        </w:rPr>
        <w:t xml:space="preserve"> </w:t>
      </w:r>
      <w:r w:rsidRPr="00E40C63" w:rsidR="007A3D19">
        <w:rPr>
          <w:b/>
          <w:sz w:val="28"/>
        </w:rPr>
        <w:t>-</w:t>
      </w:r>
      <w:r w:rsidRPr="00E40C63" w:rsidR="00FA4361">
        <w:rPr>
          <w:b/>
          <w:sz w:val="28"/>
        </w:rPr>
        <w:t xml:space="preserve"> </w:t>
      </w:r>
      <w:r w:rsidRPr="00E40C63" w:rsidR="007A3D19">
        <w:rPr>
          <w:b/>
          <w:sz w:val="28"/>
        </w:rPr>
        <w:t xml:space="preserve">Terms of Reference </w:t>
      </w:r>
    </w:p>
    <w:p w:rsidRPr="00E40C63" w:rsidR="00046C21" w:rsidRDefault="007A3D19" w14:paraId="09A1E243" w14:textId="77777777">
      <w:pPr>
        <w:spacing w:after="643" w:line="259" w:lineRule="auto"/>
        <w:ind w:left="0" w:right="263" w:firstLine="0"/>
        <w:jc w:val="right"/>
      </w:pPr>
      <w:r w:rsidRPr="00E40C63">
        <w:rPr>
          <w:rFonts w:eastAsia="Times New Roman"/>
        </w:rPr>
        <w:t xml:space="preserve"> </w:t>
      </w:r>
    </w:p>
    <w:p w:rsidRPr="00E40C63" w:rsidR="00046C21" w:rsidRDefault="007A3D19" w14:paraId="2271D798" w14:textId="77777777">
      <w:pPr>
        <w:spacing w:after="0" w:line="259" w:lineRule="auto"/>
        <w:ind w:left="0" w:firstLine="0"/>
      </w:pPr>
      <w:r w:rsidRPr="00E40C63">
        <w:rPr>
          <w:rFonts w:eastAsia="Calibri"/>
          <w:sz w:val="22"/>
        </w:rPr>
        <w:t xml:space="preserve"> </w:t>
      </w:r>
    </w:p>
    <w:p w:rsidRPr="00101B88" w:rsidR="00FF6CA3" w:rsidP="00B3653F" w:rsidRDefault="002457F8" w14:paraId="63CC97AC" w14:textId="7146F6BB">
      <w:pPr>
        <w:pStyle w:val="ListParagraph"/>
        <w:numPr>
          <w:ilvl w:val="0"/>
          <w:numId w:val="10"/>
        </w:numPr>
        <w:spacing w:after="0" w:line="240" w:lineRule="auto"/>
        <w:ind w:left="720"/>
        <w:rPr>
          <w:rFonts w:eastAsia="Times New Roman"/>
          <w:b/>
          <w:color w:val="auto"/>
          <w:szCs w:val="24"/>
        </w:rPr>
      </w:pPr>
      <w:r w:rsidRPr="00E40C63">
        <w:rPr>
          <w:rFonts w:eastAsia="Times New Roman"/>
          <w:b/>
          <w:color w:val="auto"/>
          <w:szCs w:val="24"/>
        </w:rPr>
        <w:t>Introduction</w:t>
      </w:r>
    </w:p>
    <w:p w:rsidRPr="00E40C63" w:rsidR="00046C21" w:rsidP="00515CF7" w:rsidRDefault="00101B88" w14:paraId="04689EFD" w14:textId="336AF9EC">
      <w:pPr>
        <w:pStyle w:val="ListParagraph"/>
        <w:spacing w:before="120" w:after="120" w:line="240" w:lineRule="auto"/>
        <w:ind w:firstLine="0"/>
        <w:contextualSpacing w:val="0"/>
      </w:pPr>
      <w:r>
        <w:t xml:space="preserve">These Terms of Reference describe the scope of work for an </w:t>
      </w:r>
      <w:r w:rsidRPr="00515CF7" w:rsidR="006D25A3">
        <w:rPr>
          <w:color w:val="FF0000"/>
        </w:rPr>
        <w:t>[</w:t>
      </w:r>
      <w:r w:rsidRPr="00515CF7" w:rsidR="00E477B3">
        <w:rPr>
          <w:color w:val="FF0000"/>
        </w:rPr>
        <w:t>I</w:t>
      </w:r>
      <w:r w:rsidRPr="00515CF7">
        <w:rPr>
          <w:color w:val="FF0000"/>
        </w:rPr>
        <w:t xml:space="preserve">ndependent </w:t>
      </w:r>
      <w:r w:rsidRPr="00515CF7" w:rsidR="00E477B3">
        <w:rPr>
          <w:color w:val="FF0000"/>
        </w:rPr>
        <w:t>R</w:t>
      </w:r>
      <w:r w:rsidRPr="00515CF7">
        <w:rPr>
          <w:color w:val="FF0000"/>
        </w:rPr>
        <w:t>eviewer</w:t>
      </w:r>
      <w:r w:rsidRPr="00515CF7" w:rsidR="006D25A3">
        <w:rPr>
          <w:color w:val="FF0000"/>
        </w:rPr>
        <w:t xml:space="preserve"> or </w:t>
      </w:r>
      <w:r w:rsidRPr="00515CF7" w:rsidR="00515CF7">
        <w:rPr>
          <w:color w:val="FF0000"/>
        </w:rPr>
        <w:t xml:space="preserve">Local Chair from an organisation with no material involvement </w:t>
      </w:r>
      <w:r w:rsidR="00AE61F8">
        <w:rPr>
          <w:color w:val="FF0000"/>
        </w:rPr>
        <w:t>if the SSAB</w:t>
      </w:r>
      <w:r w:rsidRPr="00515CF7" w:rsidR="00515CF7">
        <w:rPr>
          <w:color w:val="FF0000"/>
        </w:rPr>
        <w:t xml:space="preserve"> LLR</w:t>
      </w:r>
      <w:r w:rsidR="00AE61F8">
        <w:rPr>
          <w:color w:val="FF0000"/>
        </w:rPr>
        <w:t xml:space="preserve"> is used</w:t>
      </w:r>
      <w:r w:rsidRPr="00515CF7" w:rsidR="00515CF7">
        <w:rPr>
          <w:color w:val="FF0000"/>
        </w:rPr>
        <w:t>]</w:t>
      </w:r>
      <w:r w:rsidRPr="00515CF7">
        <w:rPr>
          <w:color w:val="FF0000"/>
        </w:rPr>
        <w:t xml:space="preserve"> </w:t>
      </w:r>
      <w:r>
        <w:t xml:space="preserve">who will be commissioned by the Somerset Safeguarding Adults Board (SSAB) to explore </w:t>
      </w:r>
      <w:r w:rsidRPr="00515CF7" w:rsidR="0016403C">
        <w:rPr>
          <w:color w:val="FF0000"/>
        </w:rPr>
        <w:t>[</w:t>
      </w:r>
      <w:r w:rsidRPr="00515CF7" w:rsidR="00FD4EB5">
        <w:rPr>
          <w:color w:val="FF0000"/>
        </w:rPr>
        <w:t>i</w:t>
      </w:r>
      <w:r w:rsidRPr="00515CF7" w:rsidR="0016403C">
        <w:rPr>
          <w:color w:val="FF0000"/>
        </w:rPr>
        <w:t>nsert details</w:t>
      </w:r>
      <w:r w:rsidRPr="00515CF7" w:rsidR="002C32AE">
        <w:rPr>
          <w:color w:val="FF0000"/>
        </w:rPr>
        <w:t xml:space="preserve"> </w:t>
      </w:r>
      <w:r w:rsidRPr="00515CF7" w:rsidR="0040424F">
        <w:rPr>
          <w:color w:val="FF0000"/>
        </w:rPr>
        <w:t>reason for SAR</w:t>
      </w:r>
      <w:r w:rsidRPr="00515CF7" w:rsidR="0016403C">
        <w:rPr>
          <w:color w:val="FF0000"/>
        </w:rPr>
        <w:t>]</w:t>
      </w:r>
      <w:r w:rsidRPr="00515CF7">
        <w:rPr>
          <w:color w:val="FF0000"/>
        </w:rPr>
        <w:t xml:space="preserve">. </w:t>
      </w:r>
    </w:p>
    <w:p w:rsidRPr="00E40C63" w:rsidR="00046C21" w:rsidP="0075531C" w:rsidRDefault="007A3D19" w14:paraId="431974C6" w14:textId="390E9D3E">
      <w:pPr>
        <w:pStyle w:val="ListParagraph"/>
        <w:spacing w:before="120" w:after="120" w:line="240" w:lineRule="auto"/>
        <w:ind w:firstLine="0"/>
        <w:contextualSpacing w:val="0"/>
      </w:pPr>
      <w:r w:rsidRPr="00E40C63">
        <w:t xml:space="preserve">The SAR will not </w:t>
      </w:r>
      <w:r w:rsidRPr="00E40C63">
        <w:rPr>
          <w:rFonts w:eastAsia="Times New Roman"/>
          <w:color w:val="auto"/>
          <w:szCs w:val="24"/>
        </w:rPr>
        <w:t>seek</w:t>
      </w:r>
      <w:r w:rsidRPr="00E40C63">
        <w:t xml:space="preserve"> to </w:t>
      </w:r>
      <w:r w:rsidRPr="00E40C63" w:rsidR="00190DF8">
        <w:t>re-investigate or apportion blame.  Its</w:t>
      </w:r>
      <w:r w:rsidRPr="00E40C63">
        <w:t xml:space="preserve"> </w:t>
      </w:r>
      <w:r w:rsidRPr="00E40C63">
        <w:rPr>
          <w:b/>
        </w:rPr>
        <w:t xml:space="preserve">primary function is to draw together the critical learning and consider what the relevant agencies and individuals involved in the case might have done differently that </w:t>
      </w:r>
      <w:r w:rsidRPr="00E40C63">
        <w:rPr>
          <w:b/>
          <w:i/>
          <w:u w:color="000000"/>
        </w:rPr>
        <w:t>could have prevented</w:t>
      </w:r>
      <w:r w:rsidRPr="00E40C63">
        <w:rPr>
          <w:b/>
        </w:rPr>
        <w:t xml:space="preserve"> harm</w:t>
      </w:r>
      <w:r w:rsidRPr="00E40C63">
        <w:t xml:space="preserve">. This is so that lessons can be learned from the case and those </w:t>
      </w:r>
      <w:r w:rsidRPr="00E40C63">
        <w:rPr>
          <w:i/>
        </w:rPr>
        <w:t>l</w:t>
      </w:r>
      <w:r w:rsidRPr="00E40C63">
        <w:rPr>
          <w:i/>
          <w:u w:color="000000"/>
        </w:rPr>
        <w:t>essons applied to future</w:t>
      </w:r>
      <w:r w:rsidRPr="00E40C63">
        <w:t xml:space="preserve"> cases to prevent similar harm occurring again.  </w:t>
      </w:r>
    </w:p>
    <w:p w:rsidRPr="00E40C63" w:rsidR="00B918AA" w:rsidP="00C013E5" w:rsidRDefault="00B918AA" w14:paraId="26AC4071" w14:textId="77777777">
      <w:pPr>
        <w:pStyle w:val="ListParagraph"/>
        <w:numPr>
          <w:ilvl w:val="0"/>
          <w:numId w:val="10"/>
        </w:numPr>
        <w:spacing w:after="0" w:line="240" w:lineRule="auto"/>
        <w:ind w:left="720"/>
        <w:rPr>
          <w:b/>
        </w:rPr>
      </w:pPr>
      <w:r w:rsidRPr="00E40C63">
        <w:rPr>
          <w:rFonts w:eastAsia="Times New Roman"/>
          <w:b/>
          <w:color w:val="auto"/>
          <w:szCs w:val="24"/>
        </w:rPr>
        <w:t>Background</w:t>
      </w:r>
    </w:p>
    <w:p w:rsidRPr="00E40C63" w:rsidR="00D9455C" w:rsidP="000B3B3E" w:rsidRDefault="0016403C" w14:paraId="515F53C2" w14:textId="0D4CFD70">
      <w:pPr>
        <w:pStyle w:val="ListParagraph"/>
        <w:spacing w:before="120" w:after="120" w:line="240" w:lineRule="auto"/>
        <w:ind w:firstLine="0"/>
        <w:contextualSpacing w:val="0"/>
      </w:pPr>
      <w:r w:rsidRPr="00716832">
        <w:rPr>
          <w:color w:val="FF0000"/>
        </w:rPr>
        <w:t>[Insert summary</w:t>
      </w:r>
      <w:r w:rsidRPr="00716832" w:rsidR="00716832">
        <w:rPr>
          <w:color w:val="FF0000"/>
        </w:rPr>
        <w:t xml:space="preserve"> of facts known to date</w:t>
      </w:r>
      <w:r>
        <w:t>]</w:t>
      </w:r>
      <w:r w:rsidR="00966CB7">
        <w:t>.</w:t>
      </w:r>
    </w:p>
    <w:p w:rsidRPr="00E40C63" w:rsidR="00B918AA" w:rsidP="000B3B3E" w:rsidRDefault="00B918AA" w14:paraId="27D31426" w14:textId="74AEE9D4">
      <w:pPr>
        <w:pStyle w:val="ListParagraph"/>
        <w:numPr>
          <w:ilvl w:val="0"/>
          <w:numId w:val="10"/>
        </w:numPr>
        <w:spacing w:after="0" w:line="240" w:lineRule="auto"/>
        <w:ind w:left="720"/>
        <w:rPr>
          <w:b/>
        </w:rPr>
      </w:pPr>
      <w:r w:rsidRPr="00E40C63">
        <w:rPr>
          <w:rFonts w:eastAsia="Times New Roman"/>
          <w:b/>
          <w:color w:val="auto"/>
          <w:szCs w:val="24"/>
        </w:rPr>
        <w:t>About this process</w:t>
      </w:r>
    </w:p>
    <w:p w:rsidRPr="00E40C63" w:rsidR="00B918AA" w:rsidP="799A807A" w:rsidRDefault="00B918AA" w14:paraId="67B8CF1E" w14:textId="708575D2">
      <w:pPr>
        <w:pStyle w:val="ListParagraph"/>
        <w:spacing w:before="120" w:after="120" w:line="240" w:lineRule="auto"/>
        <w:ind w:firstLine="0"/>
        <w:rPr>
          <w:highlight w:val="yellow"/>
        </w:rPr>
      </w:pPr>
      <w:r w:rsidR="00B918AA">
        <w:rPr/>
        <w:t xml:space="preserve">Organisations </w:t>
      </w:r>
      <w:r w:rsidR="00B918AA">
        <w:rPr/>
        <w:t>participating</w:t>
      </w:r>
      <w:r w:rsidR="00B918AA">
        <w:rPr/>
        <w:t xml:space="preserve"> in the process (see section </w:t>
      </w:r>
      <w:r w:rsidR="00A60352">
        <w:rPr/>
        <w:t>8</w:t>
      </w:r>
      <w:r w:rsidR="00B918AA">
        <w:rPr/>
        <w:t xml:space="preserve">) will be expected to provide </w:t>
      </w:r>
      <w:r w:rsidR="00C013E5">
        <w:rPr/>
        <w:t xml:space="preserve">an </w:t>
      </w:r>
      <w:r w:rsidR="00324EB5">
        <w:rPr/>
        <w:t>I</w:t>
      </w:r>
      <w:r w:rsidR="00C013E5">
        <w:rPr/>
        <w:t xml:space="preserve">nternal </w:t>
      </w:r>
      <w:r w:rsidR="00324EB5">
        <w:rPr/>
        <w:t>M</w:t>
      </w:r>
      <w:r w:rsidR="00C013E5">
        <w:rPr/>
        <w:t xml:space="preserve">anagement </w:t>
      </w:r>
      <w:r w:rsidR="00324EB5">
        <w:rPr/>
        <w:t>R</w:t>
      </w:r>
      <w:r w:rsidR="00C013E5">
        <w:rPr/>
        <w:t xml:space="preserve">eview and </w:t>
      </w:r>
      <w:r w:rsidR="00B918AA">
        <w:rPr/>
        <w:t>chronology of the events</w:t>
      </w:r>
      <w:r w:rsidR="00714C01">
        <w:rPr/>
        <w:t xml:space="preserve">, along with any other information </w:t>
      </w:r>
      <w:r w:rsidR="00714C01">
        <w:rPr/>
        <w:t>requested</w:t>
      </w:r>
      <w:r w:rsidR="00714C01">
        <w:rPr/>
        <w:t xml:space="preserve"> that is relevant to </w:t>
      </w:r>
      <w:r w:rsidRPr="404670DF" w:rsidR="00D034F3">
        <w:rPr>
          <w:color w:val="FF0000"/>
        </w:rPr>
        <w:t>[</w:t>
      </w:r>
      <w:r w:rsidRPr="404670DF" w:rsidR="00FD4EB5">
        <w:rPr>
          <w:color w:val="FF0000"/>
        </w:rPr>
        <w:t>i</w:t>
      </w:r>
      <w:r w:rsidRPr="404670DF" w:rsidR="00D034F3">
        <w:rPr>
          <w:color w:val="FF0000"/>
        </w:rPr>
        <w:t xml:space="preserve">nsert </w:t>
      </w:r>
      <w:r w:rsidRPr="404670DF" w:rsidR="00FD4EB5">
        <w:rPr>
          <w:color w:val="FF0000"/>
        </w:rPr>
        <w:t>n</w:t>
      </w:r>
      <w:r w:rsidRPr="404670DF" w:rsidR="00D034F3">
        <w:rPr>
          <w:color w:val="FF0000"/>
        </w:rPr>
        <w:t>ame</w:t>
      </w:r>
      <w:r w:rsidRPr="404670DF" w:rsidR="00D034F3">
        <w:rPr>
          <w:color w:val="FF0000"/>
        </w:rPr>
        <w:t>(s)</w:t>
      </w:r>
      <w:r w:rsidRPr="404670DF" w:rsidR="00D034F3">
        <w:rPr>
          <w:color w:val="FF0000"/>
        </w:rPr>
        <w:t>]</w:t>
      </w:r>
      <w:r w:rsidRPr="404670DF" w:rsidR="00D034F3">
        <w:rPr>
          <w:color w:val="FF0000"/>
        </w:rPr>
        <w:t xml:space="preserve"> </w:t>
      </w:r>
      <w:r w:rsidRPr="404670DF" w:rsidR="00D034F3">
        <w:rPr>
          <w:color w:val="000000" w:themeColor="text1" w:themeTint="FF" w:themeShade="FF"/>
        </w:rPr>
        <w:t>case</w:t>
      </w:r>
      <w:r w:rsidR="00714C01">
        <w:rPr/>
        <w:t xml:space="preserve">.  </w:t>
      </w:r>
      <w:r w:rsidR="00714C01">
        <w:rPr/>
        <w:t xml:space="preserve">They will also be expected to </w:t>
      </w:r>
      <w:r w:rsidR="00B918AA">
        <w:rPr/>
        <w:t>participate</w:t>
      </w:r>
      <w:r w:rsidR="00B918AA">
        <w:rPr/>
        <w:t xml:space="preserve"> in a</w:t>
      </w:r>
      <w:r w:rsidR="00467C60">
        <w:rPr/>
        <w:t xml:space="preserve">t least one </w:t>
      </w:r>
      <w:r w:rsidR="00A34C6E">
        <w:rPr/>
        <w:t xml:space="preserve">multi-disciplinary </w:t>
      </w:r>
      <w:r w:rsidR="00B918AA">
        <w:rPr/>
        <w:t xml:space="preserve">meeting to </w:t>
      </w:r>
      <w:r w:rsidR="00B918AA">
        <w:rPr/>
        <w:t>identify</w:t>
      </w:r>
      <w:r w:rsidR="00B918AA">
        <w:rPr/>
        <w:t xml:space="preserve"> learning for the Somerset system, </w:t>
      </w:r>
      <w:r w:rsidR="00467C60">
        <w:rPr/>
        <w:t xml:space="preserve">the outcomes of which will be combined with the evidence received </w:t>
      </w:r>
      <w:r w:rsidR="00710289">
        <w:rPr/>
        <w:t xml:space="preserve">into </w:t>
      </w:r>
      <w:r w:rsidR="00467C60">
        <w:rPr/>
        <w:t>a Safeg</w:t>
      </w:r>
      <w:r w:rsidR="00577B50">
        <w:rPr/>
        <w:t>uarding</w:t>
      </w:r>
      <w:r w:rsidR="00467C60">
        <w:rPr/>
        <w:t xml:space="preserve"> Adults </w:t>
      </w:r>
      <w:r w:rsidR="00895434">
        <w:rPr/>
        <w:t>R</w:t>
      </w:r>
      <w:r w:rsidR="00467C60">
        <w:rPr/>
        <w:t>eview</w:t>
      </w:r>
      <w:r w:rsidR="00895434">
        <w:rPr/>
        <w:t xml:space="preserve">.  </w:t>
      </w:r>
      <w:r w:rsidR="256BAABE">
        <w:rPr/>
        <w:t>Dependent on the sensitivities of the review, it</w:t>
      </w:r>
      <w:r w:rsidRPr="404670DF" w:rsidR="00895434">
        <w:rPr>
          <w:highlight w:val="yellow"/>
        </w:rPr>
        <w:t xml:space="preserve"> will be published on the Board’s website,</w:t>
      </w:r>
      <w:r w:rsidRPr="404670DF" w:rsidR="00467C60">
        <w:rPr>
          <w:highlight w:val="yellow"/>
        </w:rPr>
        <w:t xml:space="preserve"> </w:t>
      </w:r>
      <w:r w:rsidRPr="404670DF" w:rsidR="71FAEBEE">
        <w:rPr>
          <w:highlight w:val="yellow"/>
        </w:rPr>
        <w:t>or</w:t>
      </w:r>
      <w:r w:rsidRPr="404670DF" w:rsidR="006C28E7">
        <w:rPr>
          <w:highlight w:val="yellow"/>
        </w:rPr>
        <w:t xml:space="preserve"> an </w:t>
      </w:r>
      <w:r w:rsidRPr="404670DF" w:rsidR="00325742">
        <w:rPr>
          <w:highlight w:val="yellow"/>
        </w:rPr>
        <w:t>anonymised</w:t>
      </w:r>
      <w:r w:rsidRPr="404670DF" w:rsidR="006C28E7">
        <w:rPr>
          <w:highlight w:val="yellow"/>
        </w:rPr>
        <w:t xml:space="preserve"> </w:t>
      </w:r>
      <w:r w:rsidRPr="404670DF" w:rsidR="00325742">
        <w:rPr>
          <w:highlight w:val="yellow"/>
        </w:rPr>
        <w:t>practice</w:t>
      </w:r>
      <w:r w:rsidRPr="404670DF" w:rsidR="006C28E7">
        <w:rPr>
          <w:highlight w:val="yellow"/>
        </w:rPr>
        <w:t xml:space="preserve"> </w:t>
      </w:r>
      <w:r w:rsidRPr="404670DF" w:rsidR="00325742">
        <w:rPr>
          <w:highlight w:val="yellow"/>
        </w:rPr>
        <w:t>briefing</w:t>
      </w:r>
      <w:r w:rsidRPr="404670DF" w:rsidR="006C28E7">
        <w:rPr>
          <w:highlight w:val="yellow"/>
        </w:rPr>
        <w:t xml:space="preserve"> will be published based on the </w:t>
      </w:r>
      <w:r w:rsidRPr="404670DF" w:rsidR="00325742">
        <w:rPr>
          <w:highlight w:val="yellow"/>
        </w:rPr>
        <w:t>contents of the review</w:t>
      </w:r>
      <w:r w:rsidRPr="404670DF" w:rsidR="00325742">
        <w:rPr>
          <w:highlight w:val="yellow"/>
        </w:rPr>
        <w:t>.</w:t>
      </w:r>
      <w:r w:rsidR="00467C60">
        <w:rPr/>
        <w:t xml:space="preserve">  </w:t>
      </w:r>
    </w:p>
    <w:p w:rsidRPr="00E40C63" w:rsidR="00391A4A" w:rsidP="00B369FA" w:rsidRDefault="00391A4A" w14:paraId="5D4062C9" w14:textId="7DC0CCC6">
      <w:pPr>
        <w:pStyle w:val="ListParagraph"/>
        <w:numPr>
          <w:ilvl w:val="0"/>
          <w:numId w:val="10"/>
        </w:numPr>
        <w:spacing w:after="0" w:line="240" w:lineRule="auto"/>
        <w:ind w:left="720"/>
        <w:rPr>
          <w:b/>
          <w:u w:val="single" w:color="000000"/>
        </w:rPr>
      </w:pPr>
      <w:r w:rsidRPr="00E40C63">
        <w:rPr>
          <w:rFonts w:eastAsia="Times New Roman"/>
          <w:b/>
          <w:color w:val="auto"/>
          <w:szCs w:val="24"/>
        </w:rPr>
        <w:t>Scope</w:t>
      </w:r>
    </w:p>
    <w:p w:rsidRPr="00E40C63" w:rsidR="00046C21" w:rsidP="00B369FA" w:rsidRDefault="007A3D19" w14:paraId="4F3439A7" w14:textId="3376524F">
      <w:pPr>
        <w:pStyle w:val="ListParagraph"/>
        <w:spacing w:before="120" w:after="120" w:line="240" w:lineRule="auto"/>
        <w:ind w:firstLine="0"/>
        <w:contextualSpacing w:val="0"/>
      </w:pPr>
      <w:r w:rsidRPr="00E40C63">
        <w:t xml:space="preserve">The SAR will seek to consider and address </w:t>
      </w:r>
      <w:r w:rsidRPr="00E40C63" w:rsidR="00391A4A">
        <w:t>the following:</w:t>
      </w:r>
      <w:r w:rsidRPr="00E40C63">
        <w:t xml:space="preserve"> </w:t>
      </w:r>
    </w:p>
    <w:p w:rsidR="00190DF8" w:rsidP="00190DF8" w:rsidRDefault="00190DF8" w14:paraId="7BE819F6" w14:textId="15B13DD7">
      <w:pPr>
        <w:pStyle w:val="ListParagraph"/>
        <w:numPr>
          <w:ilvl w:val="0"/>
          <w:numId w:val="3"/>
        </w:numPr>
      </w:pPr>
      <w:r w:rsidRPr="00E40C63">
        <w:t xml:space="preserve">What is the perspective of </w:t>
      </w:r>
      <w:r w:rsidRPr="00BC55B3" w:rsidR="002C32AE">
        <w:rPr>
          <w:color w:val="FF0000"/>
        </w:rPr>
        <w:t>[insert details of the individual</w:t>
      </w:r>
      <w:r w:rsidR="00A46888">
        <w:rPr>
          <w:color w:val="FF0000"/>
        </w:rPr>
        <w:t>(s)</w:t>
      </w:r>
      <w:r w:rsidRPr="00BC55B3" w:rsidR="002C32AE">
        <w:rPr>
          <w:color w:val="FF0000"/>
        </w:rPr>
        <w:t xml:space="preserve"> and/or their family</w:t>
      </w:r>
      <w:r w:rsidR="00856238">
        <w:rPr>
          <w:color w:val="FF0000"/>
        </w:rPr>
        <w:t>/friends/</w:t>
      </w:r>
      <w:r w:rsidR="00B64215">
        <w:rPr>
          <w:color w:val="FF0000"/>
        </w:rPr>
        <w:t>advocate</w:t>
      </w:r>
      <w:r w:rsidRPr="00BC55B3" w:rsidR="002C32AE">
        <w:rPr>
          <w:color w:val="FF0000"/>
        </w:rPr>
        <w:t xml:space="preserve">] </w:t>
      </w:r>
      <w:r w:rsidRPr="00E40C63">
        <w:t xml:space="preserve">on </w:t>
      </w:r>
      <w:r w:rsidRPr="00BC55B3" w:rsidR="002C32AE">
        <w:rPr>
          <w:color w:val="FF0000"/>
        </w:rPr>
        <w:t>[i</w:t>
      </w:r>
      <w:r w:rsidRPr="00BC55B3" w:rsidR="0040424F">
        <w:rPr>
          <w:color w:val="FF0000"/>
        </w:rPr>
        <w:t>n</w:t>
      </w:r>
      <w:r w:rsidRPr="00BC55B3" w:rsidR="002C32AE">
        <w:rPr>
          <w:color w:val="FF0000"/>
        </w:rPr>
        <w:t>sert details of the</w:t>
      </w:r>
      <w:r w:rsidRPr="00BC55B3" w:rsidR="0040424F">
        <w:rPr>
          <w:color w:val="FF0000"/>
        </w:rPr>
        <w:t xml:space="preserve"> reason for the SAR]</w:t>
      </w:r>
      <w:r w:rsidR="00856238">
        <w:t>;</w:t>
      </w:r>
      <w:r w:rsidR="00966CB7">
        <w:t xml:space="preserve"> including:</w:t>
      </w:r>
    </w:p>
    <w:p w:rsidRPr="00BC55B3" w:rsidR="00BC55B3" w:rsidP="00966CB7" w:rsidRDefault="00BC55B3" w14:paraId="63D40D5B" w14:textId="70B96DC5">
      <w:pPr>
        <w:pStyle w:val="ListParagraph"/>
        <w:numPr>
          <w:ilvl w:val="1"/>
          <w:numId w:val="3"/>
        </w:numPr>
        <w:rPr>
          <w:color w:val="FF0000"/>
        </w:rPr>
      </w:pPr>
      <w:r w:rsidRPr="00BC55B3">
        <w:rPr>
          <w:color w:val="FF0000"/>
        </w:rPr>
        <w:t>[insert new bullet point for each area]</w:t>
      </w:r>
    </w:p>
    <w:p w:rsidRPr="00E40C63" w:rsidR="005A72B9" w:rsidP="005A72B9" w:rsidRDefault="005A72B9" w14:paraId="5F24C67A" w14:textId="77777777">
      <w:pPr>
        <w:pStyle w:val="ListParagraph"/>
        <w:numPr>
          <w:ilvl w:val="0"/>
          <w:numId w:val="3"/>
        </w:numPr>
      </w:pPr>
      <w:r w:rsidRPr="00E40C63">
        <w:t>Evidence in chronologies, learning identified by individual organisations through Internal Management Reviews, and remote meetings organised as part of the SAR process, within the following themes:</w:t>
      </w:r>
    </w:p>
    <w:p w:rsidRPr="00BC55B3" w:rsidR="00190DF8" w:rsidP="00B369FA" w:rsidRDefault="00190DF8" w14:paraId="440B42E5" w14:textId="584D24F6">
      <w:pPr>
        <w:pStyle w:val="ListParagraph"/>
        <w:numPr>
          <w:ilvl w:val="1"/>
          <w:numId w:val="3"/>
        </w:numPr>
        <w:ind w:left="1440"/>
        <w:rPr>
          <w:color w:val="FF0000"/>
        </w:rPr>
      </w:pPr>
      <w:r w:rsidRPr="00E40C63">
        <w:t xml:space="preserve">Understanding of the person: </w:t>
      </w:r>
      <w:r w:rsidRPr="00BC55B3" w:rsidR="00BC55B3">
        <w:rPr>
          <w:color w:val="FF0000"/>
        </w:rPr>
        <w:t>[</w:t>
      </w:r>
      <w:r w:rsidR="00BC55B3">
        <w:rPr>
          <w:color w:val="FF0000"/>
        </w:rPr>
        <w:t>describe areas of focus within this theme, adding sub-bullet points if required</w:t>
      </w:r>
      <w:r w:rsidRPr="00BC55B3" w:rsidR="00BC55B3">
        <w:rPr>
          <w:color w:val="FF0000"/>
        </w:rPr>
        <w:t>]</w:t>
      </w:r>
    </w:p>
    <w:p w:rsidR="00BC55B3" w:rsidP="00996B15" w:rsidRDefault="00190DF8" w14:paraId="7254F836" w14:textId="77777777">
      <w:pPr>
        <w:pStyle w:val="ListParagraph"/>
        <w:numPr>
          <w:ilvl w:val="1"/>
          <w:numId w:val="3"/>
        </w:numPr>
        <w:ind w:left="1440"/>
        <w:rPr>
          <w:color w:val="FF0000"/>
        </w:rPr>
      </w:pPr>
      <w:r w:rsidRPr="00E40C63">
        <w:t>Actions T</w:t>
      </w:r>
      <w:r w:rsidRPr="00E40C63" w:rsidR="000B6A58">
        <w:t xml:space="preserve">aken: </w:t>
      </w:r>
      <w:r w:rsidRPr="00BC55B3" w:rsidR="00BC55B3">
        <w:rPr>
          <w:color w:val="FF0000"/>
        </w:rPr>
        <w:t>[</w:t>
      </w:r>
      <w:r w:rsidR="00BC55B3">
        <w:rPr>
          <w:color w:val="FF0000"/>
        </w:rPr>
        <w:t>describe areas of focus within this theme, adding sub-bullet points if required</w:t>
      </w:r>
      <w:r w:rsidRPr="00BC55B3" w:rsidR="00BC55B3">
        <w:rPr>
          <w:color w:val="FF0000"/>
        </w:rPr>
        <w:t>]</w:t>
      </w:r>
    </w:p>
    <w:p w:rsidRPr="00BC55B3" w:rsidR="00BC55B3" w:rsidP="00996B15" w:rsidRDefault="00933D01" w14:paraId="0894DC83" w14:textId="33B118A2">
      <w:pPr>
        <w:pStyle w:val="ListParagraph"/>
        <w:numPr>
          <w:ilvl w:val="1"/>
          <w:numId w:val="3"/>
        </w:numPr>
        <w:ind w:left="1440"/>
        <w:rPr>
          <w:color w:val="FF0000"/>
        </w:rPr>
      </w:pPr>
      <w:r w:rsidRPr="00E40C63">
        <w:t>Communication:</w:t>
      </w:r>
      <w:r w:rsidRPr="00BC55B3" w:rsidR="00BC55B3">
        <w:rPr>
          <w:color w:val="FF0000"/>
        </w:rPr>
        <w:t xml:space="preserve"> [</w:t>
      </w:r>
      <w:r w:rsidR="00BC55B3">
        <w:rPr>
          <w:color w:val="FF0000"/>
        </w:rPr>
        <w:t>describe areas of focus within this theme, adding sub-bullet points if required</w:t>
      </w:r>
      <w:r w:rsidRPr="00BC55B3" w:rsidR="00BC55B3">
        <w:rPr>
          <w:color w:val="FF0000"/>
        </w:rPr>
        <w:t>]</w:t>
      </w:r>
    </w:p>
    <w:p w:rsidRPr="00E40C63" w:rsidR="00190DF8" w:rsidP="00FE70E0" w:rsidRDefault="00190DF8" w14:paraId="3DAA75F7" w14:textId="34147A4C">
      <w:pPr>
        <w:pStyle w:val="ListParagraph"/>
        <w:numPr>
          <w:ilvl w:val="0"/>
          <w:numId w:val="3"/>
        </w:numPr>
      </w:pPr>
      <w:r w:rsidRPr="00E40C63">
        <w:t>Appropriate Services</w:t>
      </w:r>
      <w:r w:rsidRPr="00E40C63" w:rsidR="001F6AEC">
        <w:t>/Support</w:t>
      </w:r>
      <w:r w:rsidRPr="00E40C63" w:rsidR="0084698D">
        <w:t>: [</w:t>
      </w:r>
      <w:r w:rsidR="001E0E3F">
        <w:rPr>
          <w:color w:val="FF0000"/>
        </w:rPr>
        <w:t>describe areas of focus within this theme, adding sub-bullet points if required</w:t>
      </w:r>
      <w:r w:rsidRPr="00BC55B3" w:rsidR="001E0E3F">
        <w:rPr>
          <w:color w:val="FF0000"/>
        </w:rPr>
        <w:t>]</w:t>
      </w:r>
    </w:p>
    <w:p w:rsidR="00190DF8" w:rsidP="00FE70E0" w:rsidRDefault="00190DF8" w14:paraId="70723CD8" w14:textId="1A60285C">
      <w:pPr>
        <w:pStyle w:val="ListParagraph"/>
        <w:numPr>
          <w:ilvl w:val="0"/>
          <w:numId w:val="3"/>
        </w:numPr>
      </w:pPr>
      <w:r w:rsidRPr="00E40C63">
        <w:t xml:space="preserve">Risk Assessment: </w:t>
      </w:r>
      <w:r w:rsidRPr="00BC55B3" w:rsidR="001E0E3F">
        <w:rPr>
          <w:color w:val="FF0000"/>
        </w:rPr>
        <w:t>[</w:t>
      </w:r>
      <w:r w:rsidR="001E0E3F">
        <w:rPr>
          <w:color w:val="FF0000"/>
        </w:rPr>
        <w:t>describe areas of focus within this theme, adding sub-bullet points if required</w:t>
      </w:r>
      <w:r w:rsidRPr="00BC55B3" w:rsidR="001E0E3F">
        <w:rPr>
          <w:color w:val="FF0000"/>
        </w:rPr>
        <w:t>]</w:t>
      </w:r>
    </w:p>
    <w:p w:rsidRPr="00E40C63" w:rsidR="00865A0E" w:rsidP="00FE70E0" w:rsidRDefault="00865A0E" w14:paraId="6C66456B" w14:textId="20C3757C">
      <w:pPr>
        <w:pStyle w:val="ListParagraph"/>
        <w:numPr>
          <w:ilvl w:val="0"/>
          <w:numId w:val="3"/>
        </w:numPr>
      </w:pPr>
      <w:r>
        <w:lastRenderedPageBreak/>
        <w:t>Impact of protected ch</w:t>
      </w:r>
      <w:r w:rsidR="00FC012D">
        <w:t>aracteristics:  C</w:t>
      </w:r>
      <w:r w:rsidRPr="00865A0E">
        <w:t>onsideration of how race, culture, ethnicity and other protected characteristics as codified by the Equality Act 2010 may have impacted on case management.</w:t>
      </w:r>
    </w:p>
    <w:p w:rsidRPr="00E40C63" w:rsidR="00190DF8" w:rsidP="00FE70E0" w:rsidRDefault="00190DF8" w14:paraId="4D50F07B" w14:textId="77777777">
      <w:pPr>
        <w:pStyle w:val="ListParagraph"/>
        <w:numPr>
          <w:ilvl w:val="0"/>
          <w:numId w:val="3"/>
        </w:numPr>
      </w:pPr>
      <w:r w:rsidRPr="00E40C63">
        <w:t>Good Practice: Is there any good practice to highlight?</w:t>
      </w:r>
    </w:p>
    <w:p w:rsidR="000F4058" w:rsidP="000F4058" w:rsidRDefault="00190DF8" w14:paraId="759A2ADF" w14:textId="77777777">
      <w:pPr>
        <w:pStyle w:val="ListParagraph"/>
        <w:numPr>
          <w:ilvl w:val="0"/>
          <w:numId w:val="3"/>
        </w:numPr>
      </w:pPr>
      <w:r w:rsidRPr="00E40C63">
        <w:t>Key I</w:t>
      </w:r>
      <w:r w:rsidRPr="00E40C63" w:rsidR="000B6A58">
        <w:t>ssues: What were the key issues</w:t>
      </w:r>
      <w:r w:rsidRPr="00E40C63">
        <w:t xml:space="preserve"> in communication, inform</w:t>
      </w:r>
      <w:r w:rsidRPr="00E40C63" w:rsidR="000B6A58">
        <w:t xml:space="preserve">ation sharing, risk management </w:t>
      </w:r>
      <w:r w:rsidRPr="00E40C63">
        <w:t>or service delivery that impacted on this case?</w:t>
      </w:r>
    </w:p>
    <w:p w:rsidRPr="00E40C63" w:rsidR="00EA5E8E" w:rsidP="000F4058" w:rsidRDefault="00EA5E8E" w14:paraId="1E6DD8F5" w14:textId="3A39BF6E">
      <w:pPr>
        <w:pStyle w:val="ListParagraph"/>
        <w:numPr>
          <w:ilvl w:val="0"/>
          <w:numId w:val="3"/>
        </w:numPr>
        <w:rPr/>
      </w:pPr>
      <w:r w:rsidR="00EA5E8E">
        <w:rPr/>
        <w:t>Lessons and Learning:  What are the main issues (lessons) identified for the way in which organisations work to safeguard and promote the welfare of people</w:t>
      </w:r>
      <w:r w:rsidR="24C3433E">
        <w:rPr/>
        <w:t xml:space="preserve"> who</w:t>
      </w:r>
      <w:r w:rsidR="5D2E29E8">
        <w:rPr/>
        <w:t xml:space="preserve"> </w:t>
      </w:r>
      <w:r w:rsidRPr="095F9D55" w:rsidR="001E0E3F">
        <w:rPr>
          <w:color w:val="FF0000"/>
        </w:rPr>
        <w:t>[</w:t>
      </w:r>
      <w:r w:rsidRPr="095F9D55" w:rsidR="001E0E3F">
        <w:rPr>
          <w:color w:val="FF0000"/>
        </w:rPr>
        <w:t>Insert</w:t>
      </w:r>
      <w:r w:rsidRPr="095F9D55" w:rsidR="000F4058">
        <w:rPr>
          <w:color w:val="FF0000"/>
        </w:rPr>
        <w:t xml:space="preserve"> details of type of abuse and/or neglect]</w:t>
      </w:r>
      <w:r w:rsidRPr="095F9D55" w:rsidR="001E0E3F">
        <w:rPr>
          <w:color w:val="FF0000"/>
        </w:rPr>
        <w:t xml:space="preserve"> </w:t>
      </w:r>
    </w:p>
    <w:p w:rsidRPr="00E40C63" w:rsidR="00A75068" w:rsidP="00A75068" w:rsidRDefault="00A75068" w14:paraId="0B63916D" w14:textId="77777777">
      <w:pPr>
        <w:pStyle w:val="ListParagraph"/>
        <w:spacing w:after="120" w:line="240" w:lineRule="auto"/>
        <w:ind w:left="1434" w:firstLine="0"/>
      </w:pPr>
    </w:p>
    <w:p w:rsidR="00A75068" w:rsidP="00FE70E0" w:rsidRDefault="00A75068" w14:paraId="692E25EA" w14:textId="3B1CA15D">
      <w:pPr>
        <w:pStyle w:val="ListParagraph"/>
        <w:spacing w:before="120" w:after="120" w:line="240" w:lineRule="auto"/>
        <w:ind w:firstLine="0"/>
        <w:contextualSpacing w:val="0"/>
      </w:pPr>
      <w:r w:rsidRPr="00E40C63">
        <w:t>The time period covered will be</w:t>
      </w:r>
      <w:r w:rsidRPr="00E40C63" w:rsidR="00615D24">
        <w:t xml:space="preserve"> a period of </w:t>
      </w:r>
      <w:r w:rsidRPr="00FD4EB5" w:rsidR="000F4058">
        <w:rPr>
          <w:color w:val="FF0000"/>
        </w:rPr>
        <w:t>[insert details]</w:t>
      </w:r>
      <w:r w:rsidRPr="00E40C63" w:rsidR="00615D24">
        <w:t>, but organisations may also include historical information to provide context where they feel that this is relevant.</w:t>
      </w:r>
    </w:p>
    <w:p w:rsidRPr="00E40C63" w:rsidR="00DB4646" w:rsidP="00DB4646" w:rsidRDefault="00DB4646" w14:paraId="2CA5408A" w14:textId="77777777">
      <w:pPr>
        <w:spacing w:after="120"/>
        <w:ind w:left="720" w:firstLine="0"/>
      </w:pPr>
      <w:r w:rsidR="00DB4646">
        <w:rPr/>
        <w:t>The process will include at least one multi-disciplinary meeting to consider the information from the case and agree learning that all organisations will be expected to be represented at</w:t>
      </w:r>
      <w:r w:rsidR="00DB4646">
        <w:rPr/>
        <w:t xml:space="preserve">.  </w:t>
      </w:r>
      <w:r w:rsidR="00DB4646">
        <w:rPr/>
        <w:t>Fur</w:t>
      </w:r>
      <w:r w:rsidR="00DB4646">
        <w:rPr/>
        <w:t>ther</w:t>
      </w:r>
      <w:r w:rsidR="00DB4646">
        <w:rPr/>
        <w:t xml:space="preserve"> meetings may then be arranged if it is agree</w:t>
      </w:r>
      <w:r w:rsidR="00DB4646">
        <w:rPr/>
        <w:t>d</w:t>
      </w:r>
      <w:r w:rsidR="00DB4646">
        <w:rPr/>
        <w:t xml:space="preserve"> that they are necessary to conclude the process.</w:t>
      </w:r>
    </w:p>
    <w:p w:rsidR="54BFC56C" w:rsidP="799A807A" w:rsidRDefault="54BFC56C" w14:paraId="478DB663" w14:textId="0823F124">
      <w:pPr>
        <w:pStyle w:val="Normal"/>
        <w:bidi w:val="0"/>
        <w:spacing w:before="0" w:beforeAutospacing="off" w:after="120" w:afterAutospacing="off" w:line="249" w:lineRule="auto"/>
        <w:ind w:left="720" w:right="0" w:hanging="0"/>
        <w:jc w:val="left"/>
        <w:rPr>
          <w:rFonts w:ascii="Arial" w:hAnsi="Arial" w:eastAsia="Arial" w:cs="Arial"/>
          <w:noProof w:val="0"/>
          <w:sz w:val="24"/>
          <w:szCs w:val="24"/>
          <w:highlight w:val="yellow"/>
          <w:lang w:val="en-GB"/>
        </w:rPr>
      </w:pPr>
      <w:r w:rsidRPr="799A807A" w:rsidR="54BFC56C">
        <w:rPr>
          <w:highlight w:val="yellow"/>
        </w:rPr>
        <w:t xml:space="preserve">It will also include a learning event within the SAR process </w:t>
      </w:r>
      <w:r w:rsidRPr="799A807A" w:rsidR="723294FD">
        <w:rPr>
          <w:rFonts w:ascii="Arial" w:hAnsi="Arial" w:eastAsia="Arial" w:cs="Arial"/>
          <w:noProof w:val="0"/>
          <w:sz w:val="24"/>
          <w:szCs w:val="24"/>
          <w:highlight w:val="yellow"/>
          <w:lang w:val="en-GB"/>
        </w:rPr>
        <w:t xml:space="preserve">to </w:t>
      </w:r>
      <w:r w:rsidRPr="799A807A" w:rsidR="723294FD">
        <w:rPr>
          <w:rFonts w:ascii="Arial" w:hAnsi="Arial" w:eastAsia="Arial" w:cs="Arial"/>
          <w:noProof w:val="0"/>
          <w:sz w:val="24"/>
          <w:szCs w:val="24"/>
          <w:highlight w:val="yellow"/>
          <w:lang w:val="en-GB"/>
        </w:rPr>
        <w:t>identify</w:t>
      </w:r>
      <w:r w:rsidRPr="799A807A" w:rsidR="723294FD">
        <w:rPr>
          <w:rFonts w:ascii="Arial" w:hAnsi="Arial" w:eastAsia="Arial" w:cs="Arial"/>
          <w:noProof w:val="0"/>
          <w:sz w:val="24"/>
          <w:szCs w:val="24"/>
          <w:highlight w:val="yellow"/>
          <w:lang w:val="en-GB"/>
        </w:rPr>
        <w:t xml:space="preserve"> findings and recommendations.  </w:t>
      </w:r>
      <w:r w:rsidRPr="799A807A" w:rsidR="21CF5DF3">
        <w:rPr>
          <w:rFonts w:ascii="Arial" w:hAnsi="Arial" w:eastAsia="Arial" w:cs="Arial"/>
          <w:noProof w:val="0"/>
          <w:sz w:val="24"/>
          <w:szCs w:val="24"/>
          <w:highlight w:val="yellow"/>
          <w:lang w:val="en-GB"/>
        </w:rPr>
        <w:t xml:space="preserve">The aim of a Learning Event is to explore practitioners’ experiences during the period agreed for the scope of the review. One of the key aims is to focus on why those involved acted in a certain way at the time of events and will include analysis of </w:t>
      </w:r>
      <w:r w:rsidRPr="799A807A" w:rsidR="21CF5DF3">
        <w:rPr>
          <w:rFonts w:ascii="Arial" w:hAnsi="Arial" w:eastAsia="Arial" w:cs="Arial"/>
          <w:noProof w:val="0"/>
          <w:sz w:val="24"/>
          <w:szCs w:val="24"/>
          <w:highlight w:val="yellow"/>
          <w:lang w:val="en-GB"/>
        </w:rPr>
        <w:t>significant events</w:t>
      </w:r>
      <w:r w:rsidRPr="799A807A" w:rsidR="21CF5DF3">
        <w:rPr>
          <w:rFonts w:ascii="Arial" w:hAnsi="Arial" w:eastAsia="Arial" w:cs="Arial"/>
          <w:noProof w:val="0"/>
          <w:sz w:val="24"/>
          <w:szCs w:val="24"/>
          <w:highlight w:val="yellow"/>
          <w:lang w:val="en-GB"/>
        </w:rPr>
        <w:t>, what happened, why and what has changed.</w:t>
      </w:r>
    </w:p>
    <w:p w:rsidRPr="00E40C63" w:rsidR="00852B84" w:rsidP="00FE70E0" w:rsidRDefault="00FE70E0" w14:paraId="6C7BBEA5" w14:textId="164F4118">
      <w:pPr>
        <w:pStyle w:val="ListParagraph"/>
        <w:spacing w:before="120" w:after="120" w:line="240" w:lineRule="auto"/>
        <w:ind w:firstLine="0"/>
        <w:contextualSpacing w:val="0"/>
      </w:pPr>
      <w:r w:rsidRPr="00E40C63">
        <w:t xml:space="preserve">Participants in </w:t>
      </w:r>
      <w:r w:rsidRPr="006514EB" w:rsidR="006514EB">
        <w:t>multi-disciplinary meeting</w:t>
      </w:r>
      <w:r w:rsidR="006514EB">
        <w:t>(s)</w:t>
      </w:r>
      <w:r w:rsidRPr="00E40C63" w:rsidR="00A46938">
        <w:t xml:space="preserve"> </w:t>
      </w:r>
      <w:r w:rsidRPr="00E40C63" w:rsidR="002E07DB">
        <w:t>will:</w:t>
      </w:r>
    </w:p>
    <w:p w:rsidR="00CD1FA3" w:rsidP="00CD1FA3" w:rsidRDefault="00CD1FA3" w14:paraId="7461E4CE" w14:textId="797C12FA">
      <w:pPr>
        <w:pStyle w:val="ListParagraph"/>
        <w:numPr>
          <w:ilvl w:val="0"/>
          <w:numId w:val="3"/>
        </w:numPr>
        <w:spacing w:after="0" w:line="240" w:lineRule="auto"/>
      </w:pPr>
      <w:r w:rsidRPr="00E40C63">
        <w:t xml:space="preserve">Provide an Internal Management </w:t>
      </w:r>
      <w:r w:rsidRPr="00E40C63" w:rsidR="009B00E1">
        <w:t xml:space="preserve">Review and </w:t>
      </w:r>
      <w:r w:rsidRPr="00E40C63">
        <w:t>chronology in the request</w:t>
      </w:r>
      <w:r w:rsidR="005A7C34">
        <w:t>ed</w:t>
      </w:r>
      <w:r w:rsidRPr="00E40C63">
        <w:t xml:space="preserve"> formats no less </w:t>
      </w:r>
      <w:r w:rsidR="003A1878">
        <w:t xml:space="preserve">than </w:t>
      </w:r>
      <w:r w:rsidRPr="00E40C63">
        <w:t xml:space="preserve">21 calendar days in advance of the </w:t>
      </w:r>
      <w:r w:rsidR="009E2F55">
        <w:t>meeting</w:t>
      </w:r>
      <w:r w:rsidR="00D22E8D">
        <w:t xml:space="preserve"> date</w:t>
      </w:r>
      <w:r w:rsidR="0059600F">
        <w:t>.</w:t>
      </w:r>
    </w:p>
    <w:p w:rsidRPr="00E40C63" w:rsidR="003A4AC8" w:rsidP="00CD1FA3" w:rsidRDefault="003A4AC8" w14:paraId="3A2477C7" w14:textId="7CE59D2E">
      <w:pPr>
        <w:pStyle w:val="ListParagraph"/>
        <w:numPr>
          <w:ilvl w:val="0"/>
          <w:numId w:val="3"/>
        </w:numPr>
        <w:spacing w:after="0" w:line="240" w:lineRule="auto"/>
      </w:pPr>
      <w:r>
        <w:t>Provide any other information requested within 1</w:t>
      </w:r>
      <w:r w:rsidR="003546A1">
        <w:t>4</w:t>
      </w:r>
      <w:r w:rsidR="00F21D2E">
        <w:t xml:space="preserve"> calendar</w:t>
      </w:r>
      <w:r>
        <w:t xml:space="preserve"> days of the request being made.</w:t>
      </w:r>
    </w:p>
    <w:p w:rsidRPr="00E40C63" w:rsidR="002E07DB" w:rsidP="002E07DB" w:rsidRDefault="000B0F5C" w14:paraId="741F2049" w14:textId="27F0F064">
      <w:pPr>
        <w:pStyle w:val="ListParagraph"/>
        <w:numPr>
          <w:ilvl w:val="0"/>
          <w:numId w:val="3"/>
        </w:numPr>
        <w:rPr>
          <w:szCs w:val="24"/>
        </w:rPr>
      </w:pPr>
      <w:r w:rsidRPr="00E40C63">
        <w:t>Be</w:t>
      </w:r>
      <w:r w:rsidRPr="00E40C63">
        <w:rPr>
          <w:szCs w:val="24"/>
        </w:rPr>
        <w:t xml:space="preserve"> able to state what would be the usual expectation of their service in relation to the issues being discussed</w:t>
      </w:r>
      <w:r w:rsidR="0059600F">
        <w:rPr>
          <w:szCs w:val="24"/>
        </w:rPr>
        <w:t>.</w:t>
      </w:r>
    </w:p>
    <w:p w:rsidRPr="00E40C63" w:rsidR="002E07DB" w:rsidP="002E07DB" w:rsidRDefault="000B0F5C" w14:paraId="7380AD9D" w14:textId="77777777">
      <w:pPr>
        <w:pStyle w:val="ListParagraph"/>
        <w:numPr>
          <w:ilvl w:val="0"/>
          <w:numId w:val="3"/>
        </w:numPr>
        <w:rPr>
          <w:szCs w:val="24"/>
        </w:rPr>
      </w:pPr>
      <w:r w:rsidRPr="00E40C63">
        <w:rPr>
          <w:szCs w:val="24"/>
        </w:rPr>
        <w:t>Be able to identify any recommendations relevant to their own service</w:t>
      </w:r>
    </w:p>
    <w:p w:rsidRPr="00E40C63" w:rsidR="0016303D" w:rsidP="0016303D" w:rsidRDefault="0016303D" w14:paraId="27652051" w14:textId="18B9CD99">
      <w:pPr>
        <w:pStyle w:val="ListParagraph"/>
        <w:numPr>
          <w:ilvl w:val="0"/>
          <w:numId w:val="3"/>
        </w:numPr>
        <w:spacing w:after="120" w:line="240" w:lineRule="auto"/>
      </w:pPr>
      <w:r w:rsidRPr="00E40C63">
        <w:t xml:space="preserve">Ensure that the content of the any reports that they reference, including any recommendations made in relation to their organisation, have been reviewed and approved by a person with an appropriate level of decision making </w:t>
      </w:r>
      <w:r w:rsidR="0059600F">
        <w:t>responsibly.</w:t>
      </w:r>
    </w:p>
    <w:p w:rsidRPr="00E40C63" w:rsidR="00EA5E8E" w:rsidP="00EA5E8E" w:rsidRDefault="00EA5E8E" w14:paraId="2AE75D06" w14:textId="76A2A3CB">
      <w:pPr>
        <w:pStyle w:val="ListParagraph"/>
        <w:numPr>
          <w:ilvl w:val="0"/>
          <w:numId w:val="3"/>
        </w:numPr>
        <w:spacing w:after="0" w:line="240" w:lineRule="auto"/>
      </w:pPr>
      <w:r w:rsidRPr="00E40C63">
        <w:t xml:space="preserve">Ensure focus on the learning </w:t>
      </w:r>
      <w:r w:rsidRPr="0016403C" w:rsidR="00863175">
        <w:rPr>
          <w:color w:val="FF0000"/>
        </w:rPr>
        <w:t>[</w:t>
      </w:r>
      <w:r w:rsidR="00863175">
        <w:rPr>
          <w:color w:val="FF0000"/>
        </w:rPr>
        <w:t>i</w:t>
      </w:r>
      <w:r w:rsidRPr="0016403C" w:rsidR="00863175">
        <w:rPr>
          <w:color w:val="FF0000"/>
        </w:rPr>
        <w:t>nsert details</w:t>
      </w:r>
      <w:r w:rsidR="00863175">
        <w:rPr>
          <w:color w:val="FF0000"/>
        </w:rPr>
        <w:t xml:space="preserve"> reason for SAR</w:t>
      </w:r>
      <w:r w:rsidRPr="0016403C" w:rsidR="00863175">
        <w:rPr>
          <w:color w:val="FF0000"/>
        </w:rPr>
        <w:t>]</w:t>
      </w:r>
      <w:r w:rsidRPr="00863175" w:rsidR="00863175">
        <w:rPr>
          <w:color w:val="000000" w:themeColor="text1"/>
        </w:rPr>
        <w:t>.</w:t>
      </w:r>
    </w:p>
    <w:p w:rsidR="00E903E1" w:rsidP="00E903E1" w:rsidRDefault="00E903E1" w14:paraId="209178B9" w14:textId="0089331A">
      <w:pPr>
        <w:pStyle w:val="ListParagraph"/>
        <w:numPr>
          <w:ilvl w:val="0"/>
          <w:numId w:val="3"/>
        </w:numPr>
        <w:spacing w:after="0" w:line="240" w:lineRule="auto"/>
      </w:pPr>
      <w:r w:rsidRPr="00E40C63">
        <w:t>Come prepared to contribute to the process, having read papers circulated with these Terms of Reference and agenda, and have familiarised themselves with their/their organisations involvement</w:t>
      </w:r>
      <w:r w:rsidR="0059600F">
        <w:t>.</w:t>
      </w:r>
    </w:p>
    <w:p w:rsidRPr="00E40C63" w:rsidR="0045302A" w:rsidP="0045302A" w:rsidRDefault="0045302A" w14:paraId="2BB140B1" w14:textId="75469019">
      <w:pPr>
        <w:pStyle w:val="ListParagraph"/>
        <w:numPr>
          <w:ilvl w:val="0"/>
          <w:numId w:val="3"/>
        </w:numPr>
        <w:spacing w:after="120" w:line="240" w:lineRule="auto"/>
      </w:pPr>
      <w:r w:rsidRPr="00185209">
        <w:t xml:space="preserve">Support the Independent Reviewer to produce a draft report summarising the relevant events leading up to </w:t>
      </w:r>
      <w:r w:rsidRPr="0016403C" w:rsidR="00863175">
        <w:rPr>
          <w:color w:val="FF0000"/>
        </w:rPr>
        <w:t>[</w:t>
      </w:r>
      <w:r w:rsidR="00863175">
        <w:rPr>
          <w:color w:val="FF0000"/>
        </w:rPr>
        <w:t>i</w:t>
      </w:r>
      <w:r w:rsidRPr="0016403C" w:rsidR="00863175">
        <w:rPr>
          <w:color w:val="FF0000"/>
        </w:rPr>
        <w:t>nsert details</w:t>
      </w:r>
      <w:r w:rsidR="00863175">
        <w:rPr>
          <w:color w:val="FF0000"/>
        </w:rPr>
        <w:t xml:space="preserve"> reason for SAR</w:t>
      </w:r>
      <w:r w:rsidRPr="0016403C" w:rsidR="00863175">
        <w:rPr>
          <w:color w:val="FF0000"/>
        </w:rPr>
        <w:t>]</w:t>
      </w:r>
      <w:r w:rsidRPr="00185209">
        <w:t>, learning points and any recommendations for action</w:t>
      </w:r>
      <w:r>
        <w:t>.</w:t>
      </w:r>
    </w:p>
    <w:p w:rsidR="00E903E1" w:rsidP="00E903E1" w:rsidRDefault="00E903E1" w14:paraId="07D11C10" w14:textId="37A320AF">
      <w:pPr>
        <w:pStyle w:val="ListParagraph"/>
        <w:numPr>
          <w:ilvl w:val="0"/>
          <w:numId w:val="3"/>
        </w:numPr>
        <w:spacing w:after="120" w:line="240" w:lineRule="auto"/>
      </w:pPr>
      <w:r w:rsidRPr="00E40C63">
        <w:t xml:space="preserve">Identify learning for the local system from </w:t>
      </w:r>
      <w:r w:rsidR="00FC1100">
        <w:t xml:space="preserve">this </w:t>
      </w:r>
      <w:r w:rsidRPr="00E40C63">
        <w:t>case</w:t>
      </w:r>
      <w:r w:rsidR="0059600F">
        <w:t>.</w:t>
      </w:r>
    </w:p>
    <w:p w:rsidRPr="00E40C63" w:rsidR="00BB1C80" w:rsidP="00B9250A" w:rsidRDefault="00BB1C80" w14:paraId="6D0A30C3" w14:textId="77777777">
      <w:pPr>
        <w:spacing w:before="120" w:after="120" w:line="250" w:lineRule="auto"/>
        <w:ind w:left="1089" w:hanging="369"/>
      </w:pPr>
      <w:r w:rsidRPr="00E40C63">
        <w:t>The SSAB will:</w:t>
      </w:r>
    </w:p>
    <w:p w:rsidRPr="00E40C63" w:rsidR="008C7C0F" w:rsidP="00B9250A" w:rsidRDefault="00BB1C80" w14:paraId="1B091043" w14:textId="250FDF01">
      <w:pPr>
        <w:pStyle w:val="ListParagraph"/>
        <w:numPr>
          <w:ilvl w:val="0"/>
          <w:numId w:val="3"/>
        </w:numPr>
        <w:spacing w:after="0" w:line="240" w:lineRule="auto"/>
      </w:pPr>
      <w:r w:rsidRPr="00E40C63">
        <w:t>Request that the organisations involved provide information to support the learning process</w:t>
      </w:r>
      <w:r w:rsidRPr="00E40C63" w:rsidR="00A84590">
        <w:t xml:space="preserve"> in the form of an Internal Management Review and chronology </w:t>
      </w:r>
      <w:r w:rsidRPr="00E40C63">
        <w:t xml:space="preserve">no less </w:t>
      </w:r>
      <w:r w:rsidR="003A1878">
        <w:t xml:space="preserve">than </w:t>
      </w:r>
      <w:r w:rsidRPr="00E40C63">
        <w:t>21 days before the Microsoft Teams meeting to enable it to be collated and shared with the participants in order to give them sufficient time to consider it in advance of the meeting</w:t>
      </w:r>
      <w:r w:rsidR="0059600F">
        <w:t>.</w:t>
      </w:r>
      <w:r w:rsidRPr="00E40C63">
        <w:t xml:space="preserve"> </w:t>
      </w:r>
    </w:p>
    <w:p w:rsidR="00241FFC" w:rsidP="00241FFC" w:rsidRDefault="00241FFC" w14:paraId="6979718B" w14:textId="37670C9D">
      <w:pPr>
        <w:pStyle w:val="ListParagraph"/>
        <w:numPr>
          <w:ilvl w:val="0"/>
          <w:numId w:val="3"/>
        </w:numPr>
        <w:spacing w:after="0" w:line="240" w:lineRule="auto"/>
      </w:pPr>
      <w:r w:rsidRPr="00E40C63">
        <w:t>Circulate a combined chronology and copies of Internal Management Reviews no less than 14 calendar days in advance of the meeting</w:t>
      </w:r>
      <w:r w:rsidR="0059600F">
        <w:t>.</w:t>
      </w:r>
    </w:p>
    <w:p w:rsidR="008E696E" w:rsidP="00800F7D" w:rsidRDefault="003625C3" w14:paraId="601DF77D" w14:textId="1B111DF4">
      <w:pPr>
        <w:pStyle w:val="ListParagraph"/>
        <w:numPr>
          <w:ilvl w:val="0"/>
          <w:numId w:val="3"/>
        </w:numPr>
        <w:spacing w:after="0" w:line="240" w:lineRule="auto"/>
      </w:pPr>
      <w:r>
        <w:t xml:space="preserve">Ensure the Independent </w:t>
      </w:r>
      <w:r w:rsidR="008D2BF4">
        <w:t>Reviewer produces</w:t>
      </w:r>
      <w:r>
        <w:t xml:space="preserve"> a draft </w:t>
      </w:r>
      <w:r w:rsidRPr="00E40C63" w:rsidR="00800F7D">
        <w:t xml:space="preserve">report summarising the relevant events leading up to </w:t>
      </w:r>
      <w:r w:rsidRPr="0016403C" w:rsidR="00863175">
        <w:rPr>
          <w:color w:val="FF0000"/>
        </w:rPr>
        <w:t>[</w:t>
      </w:r>
      <w:r w:rsidR="00863175">
        <w:rPr>
          <w:color w:val="FF0000"/>
        </w:rPr>
        <w:t>i</w:t>
      </w:r>
      <w:r w:rsidRPr="0016403C" w:rsidR="00863175">
        <w:rPr>
          <w:color w:val="FF0000"/>
        </w:rPr>
        <w:t>nsert details</w:t>
      </w:r>
      <w:r w:rsidR="00863175">
        <w:rPr>
          <w:color w:val="FF0000"/>
        </w:rPr>
        <w:t xml:space="preserve"> reason for SAR</w:t>
      </w:r>
      <w:r w:rsidRPr="0016403C" w:rsidR="00863175">
        <w:rPr>
          <w:color w:val="FF0000"/>
        </w:rPr>
        <w:t>]</w:t>
      </w:r>
      <w:r w:rsidRPr="00E40C63" w:rsidR="00800F7D">
        <w:t>, learning points and any recommendations for action</w:t>
      </w:r>
    </w:p>
    <w:p w:rsidRPr="00E40C63" w:rsidR="00800F7D" w:rsidP="00800F7D" w:rsidRDefault="008E696E" w14:paraId="64419C5E" w14:textId="2ACEAFF7">
      <w:pPr>
        <w:pStyle w:val="ListParagraph"/>
        <w:numPr>
          <w:ilvl w:val="0"/>
          <w:numId w:val="3"/>
        </w:numPr>
        <w:spacing w:after="0" w:line="240" w:lineRule="auto"/>
      </w:pPr>
      <w:r>
        <w:t>C</w:t>
      </w:r>
      <w:r w:rsidRPr="00E40C63" w:rsidR="00800F7D">
        <w:t xml:space="preserve">irculate </w:t>
      </w:r>
      <w:r w:rsidR="00155B42">
        <w:t>a</w:t>
      </w:r>
      <w:r>
        <w:t xml:space="preserve"> draft report to </w:t>
      </w:r>
      <w:r w:rsidRPr="00E40C63" w:rsidR="00800F7D">
        <w:t>all</w:t>
      </w:r>
      <w:r w:rsidR="00800F7D">
        <w:t xml:space="preserve"> organisations involved in the process, </w:t>
      </w:r>
      <w:r w:rsidRPr="00E40C63" w:rsidR="00800F7D">
        <w:t>allowing a 14-day timescale to reply and comment</w:t>
      </w:r>
    </w:p>
    <w:p w:rsidRPr="00E40C63" w:rsidR="00A12748" w:rsidP="00A12748" w:rsidRDefault="00A12748" w14:paraId="1AC48E6F" w14:textId="321AC227">
      <w:pPr>
        <w:pStyle w:val="ListParagraph"/>
        <w:numPr>
          <w:ilvl w:val="0"/>
          <w:numId w:val="7"/>
        </w:numPr>
        <w:spacing w:after="120" w:line="240" w:lineRule="auto"/>
        <w:ind w:left="1077" w:hanging="357"/>
        <w:contextualSpacing w:val="0"/>
      </w:pPr>
      <w:r w:rsidRPr="00E40C63">
        <w:t>Once the content of the</w:t>
      </w:r>
      <w:r w:rsidRPr="00E40C63" w:rsidR="00CA4821">
        <w:t xml:space="preserve"> draft</w:t>
      </w:r>
      <w:r w:rsidRPr="00E40C63">
        <w:t xml:space="preserve"> report has been agreed </w:t>
      </w:r>
      <w:r w:rsidRPr="00E40C63" w:rsidR="00CA4821">
        <w:t xml:space="preserve">as factually accurate </w:t>
      </w:r>
      <w:r w:rsidRPr="00E40C63">
        <w:t>by the attendees of the meeting, the SSAB will share a copy with the SSAB Board Member</w:t>
      </w:r>
      <w:r w:rsidRPr="00E40C63" w:rsidR="00537B48">
        <w:t xml:space="preserve"> </w:t>
      </w:r>
      <w:r w:rsidRPr="00E40C63">
        <w:t>for each organisation and the organisations representative at the meeting for final sign off</w:t>
      </w:r>
      <w:r w:rsidRPr="00E40C63" w:rsidR="009F5BB7">
        <w:t xml:space="preserve"> </w:t>
      </w:r>
      <w:r w:rsidRPr="00E40C63" w:rsidR="009F5BB7">
        <w:lastRenderedPageBreak/>
        <w:t>of factual accuracy</w:t>
      </w:r>
      <w:r w:rsidRPr="00E40C63">
        <w:t>.  Where not a SSAB Board member the attendees will be expected to share the draft with an appropriate senior manager from their own organisation to seek their feedback and sign-off.</w:t>
      </w:r>
    </w:p>
    <w:p w:rsidRPr="00E40C63" w:rsidR="00046C21" w:rsidP="00615D24" w:rsidRDefault="007A3D19" w14:paraId="4C33622A" w14:textId="23443242">
      <w:pPr>
        <w:spacing w:after="120" w:line="259" w:lineRule="auto"/>
        <w:ind w:left="720" w:firstLine="0"/>
      </w:pPr>
      <w:r w:rsidRPr="00E40C63">
        <w:t>The aim of the review is to d</w:t>
      </w:r>
      <w:r w:rsidRPr="00E40C63" w:rsidR="00A96214">
        <w:t xml:space="preserve">raw together critical learning </w:t>
      </w:r>
      <w:r w:rsidRPr="00E40C63">
        <w:t>which identifies any systemic issues, learns lessons for the future and identi</w:t>
      </w:r>
      <w:r w:rsidRPr="00E40C63" w:rsidR="00391A4A">
        <w:t>fi</w:t>
      </w:r>
      <w:r w:rsidRPr="00E40C63">
        <w:t xml:space="preserve">es any necessary action. </w:t>
      </w:r>
    </w:p>
    <w:p w:rsidR="0084205B" w:rsidP="0084205B" w:rsidRDefault="0084205B" w14:paraId="3403BB68" w14:textId="462DA9A0">
      <w:pPr>
        <w:pStyle w:val="ListParagraph"/>
        <w:spacing w:before="120" w:after="120" w:line="240" w:lineRule="auto"/>
        <w:ind w:firstLine="0"/>
        <w:contextualSpacing w:val="0"/>
      </w:pPr>
      <w:r>
        <w:t>The review will commence as soon as practicable once an Independent Reviewer has been identified and should conclude within a maximum of 6 months from this date, excluding the SSAB’s sign-off and publication process.</w:t>
      </w:r>
    </w:p>
    <w:p w:rsidRPr="007D40BC" w:rsidR="00584C92" w:rsidP="007D40BC" w:rsidRDefault="00584C92" w14:paraId="0342B0FA" w14:textId="5707E38E">
      <w:pPr>
        <w:pStyle w:val="ListParagraph"/>
        <w:numPr>
          <w:ilvl w:val="0"/>
          <w:numId w:val="10"/>
        </w:numPr>
        <w:spacing w:after="120" w:line="240" w:lineRule="auto"/>
        <w:ind w:left="714" w:hanging="357"/>
        <w:contextualSpacing w:val="0"/>
        <w:rPr>
          <w:rFonts w:eastAsia="Times New Roman"/>
          <w:b/>
          <w:color w:val="auto"/>
          <w:szCs w:val="24"/>
        </w:rPr>
      </w:pPr>
      <w:r w:rsidRPr="007D40BC">
        <w:rPr>
          <w:rFonts w:eastAsia="Times New Roman"/>
          <w:b/>
          <w:color w:val="auto"/>
          <w:szCs w:val="24"/>
        </w:rPr>
        <w:t>The Review Report</w:t>
      </w:r>
    </w:p>
    <w:p w:rsidRPr="00E40C63" w:rsidR="00190DF8" w:rsidP="00615D24" w:rsidRDefault="007A3D19" w14:paraId="31ADA03A" w14:textId="16D3D7C2">
      <w:pPr>
        <w:spacing w:after="120"/>
        <w:ind w:left="705" w:firstLine="0"/>
      </w:pPr>
      <w:r w:rsidRPr="00E40C63">
        <w:t xml:space="preserve">The review </w:t>
      </w:r>
      <w:r w:rsidRPr="00E40C63" w:rsidR="00615D24">
        <w:t>report</w:t>
      </w:r>
      <w:r w:rsidR="007D40BC">
        <w:t xml:space="preserve"> must</w:t>
      </w:r>
      <w:r w:rsidR="00584C92">
        <w:t>:</w:t>
      </w:r>
    </w:p>
    <w:p w:rsidRPr="00584C92" w:rsidR="00584C92" w:rsidP="00190DF8" w:rsidRDefault="00584C92" w14:paraId="38FAE1CB" w14:textId="2EDD9BB2">
      <w:pPr>
        <w:pStyle w:val="ListParagraph"/>
        <w:numPr>
          <w:ilvl w:val="0"/>
          <w:numId w:val="4"/>
        </w:numPr>
      </w:pPr>
      <w:r>
        <w:rPr>
          <w:szCs w:val="24"/>
        </w:rPr>
        <w:t>Be limited</w:t>
      </w:r>
      <w:r w:rsidR="004C7D93">
        <w:rPr>
          <w:szCs w:val="24"/>
        </w:rPr>
        <w:t xml:space="preserve"> to</w:t>
      </w:r>
      <w:r>
        <w:rPr>
          <w:szCs w:val="24"/>
        </w:rPr>
        <w:t xml:space="preserve"> 10,000* words </w:t>
      </w:r>
      <w:r w:rsidRPr="00863175" w:rsidR="00863175">
        <w:rPr>
          <w:color w:val="FF0000"/>
          <w:szCs w:val="24"/>
        </w:rPr>
        <w:t>[plus 5,000 words for each additional individual involved in the SAR]</w:t>
      </w:r>
    </w:p>
    <w:p w:rsidR="00190DF8" w:rsidP="00190DF8" w:rsidRDefault="008B75B3" w14:paraId="7FFEB2FA" w14:textId="531A27FC">
      <w:pPr>
        <w:pStyle w:val="ListParagraph"/>
        <w:numPr>
          <w:ilvl w:val="0"/>
          <w:numId w:val="4"/>
        </w:numPr>
      </w:pPr>
      <w:r>
        <w:t>Include a</w:t>
      </w:r>
      <w:r w:rsidRPr="00E40C63" w:rsidR="00C844FF">
        <w:t>n</w:t>
      </w:r>
      <w:r w:rsidRPr="00E40C63" w:rsidR="00190DF8">
        <w:t xml:space="preserve"> outline of the case, including information about </w:t>
      </w:r>
      <w:r w:rsidRPr="00565210" w:rsidR="00565210">
        <w:rPr>
          <w:color w:val="FF0000"/>
        </w:rPr>
        <w:t xml:space="preserve">[insert name(s)] </w:t>
      </w:r>
      <w:r w:rsidRPr="00E40C63" w:rsidR="00190DF8">
        <w:t xml:space="preserve">as a </w:t>
      </w:r>
      <w:r w:rsidRPr="00E40C63" w:rsidR="007A3D19">
        <w:t>person</w:t>
      </w:r>
      <w:r w:rsidR="0059600F">
        <w:t>.</w:t>
      </w:r>
      <w:r w:rsidR="00FD3CBB">
        <w:t xml:space="preserve">  While this should include information from </w:t>
      </w:r>
      <w:r w:rsidRPr="00375B42" w:rsidR="00565210">
        <w:rPr>
          <w:color w:val="FF0000"/>
        </w:rPr>
        <w:t>[insert name(s)</w:t>
      </w:r>
      <w:r w:rsidRPr="00375B42" w:rsidR="00375B42">
        <w:rPr>
          <w:color w:val="FF0000"/>
        </w:rPr>
        <w:t xml:space="preserve"> and/or family</w:t>
      </w:r>
      <w:r w:rsidR="003E4AF9">
        <w:rPr>
          <w:color w:val="FF0000"/>
        </w:rPr>
        <w:t>/friends/advocate</w:t>
      </w:r>
      <w:r w:rsidRPr="00375B42" w:rsidR="00375B42">
        <w:rPr>
          <w:color w:val="FF0000"/>
        </w:rPr>
        <w:t xml:space="preserve"> involve</w:t>
      </w:r>
      <w:r w:rsidR="00EB6706">
        <w:rPr>
          <w:color w:val="FF0000"/>
        </w:rPr>
        <w:t>d in the review</w:t>
      </w:r>
      <w:r w:rsidRPr="00375B42" w:rsidR="00565210">
        <w:rPr>
          <w:color w:val="FF0000"/>
        </w:rPr>
        <w:t>]</w:t>
      </w:r>
      <w:r w:rsidR="00FD3CBB">
        <w:t xml:space="preserve">, it should also </w:t>
      </w:r>
      <w:r w:rsidR="00844281">
        <w:t>consider other information</w:t>
      </w:r>
      <w:r w:rsidRPr="00844281" w:rsidR="00844281">
        <w:rPr>
          <w:color w:val="000000" w:themeColor="text1"/>
        </w:rPr>
        <w:t xml:space="preserve"> </w:t>
      </w:r>
      <w:r w:rsidRPr="00844281" w:rsidR="003F0278">
        <w:rPr>
          <w:color w:val="000000" w:themeColor="text1"/>
          <w:szCs w:val="24"/>
          <w:shd w:val="clear" w:color="auto" w:fill="FFFFFF"/>
        </w:rPr>
        <w:t xml:space="preserve">that would give the report a sense of how </w:t>
      </w:r>
      <w:r w:rsidRPr="00827D3A" w:rsidR="00827D3A">
        <w:rPr>
          <w:color w:val="FF0000"/>
          <w:szCs w:val="24"/>
          <w:shd w:val="clear" w:color="auto" w:fill="FFFFFF"/>
        </w:rPr>
        <w:t>[</w:t>
      </w:r>
      <w:r w:rsidRPr="00827D3A" w:rsidR="003F0278">
        <w:rPr>
          <w:color w:val="FF0000"/>
          <w:szCs w:val="24"/>
          <w:shd w:val="clear" w:color="auto" w:fill="FFFFFF"/>
        </w:rPr>
        <w:t xml:space="preserve">the </w:t>
      </w:r>
      <w:r w:rsidRPr="00827D3A" w:rsidR="00827D3A">
        <w:rPr>
          <w:color w:val="FF0000"/>
          <w:szCs w:val="24"/>
          <w:shd w:val="clear" w:color="auto" w:fill="FFFFFF"/>
        </w:rPr>
        <w:t xml:space="preserve">individual(s)] </w:t>
      </w:r>
      <w:r w:rsidRPr="00844281" w:rsidR="003F0278">
        <w:rPr>
          <w:color w:val="000000" w:themeColor="text1"/>
          <w:szCs w:val="24"/>
          <w:shd w:val="clear" w:color="auto" w:fill="FFFFFF"/>
        </w:rPr>
        <w:t>felt/</w:t>
      </w:r>
      <w:r w:rsidR="00827D3A">
        <w:rPr>
          <w:color w:val="000000" w:themeColor="text1"/>
          <w:szCs w:val="24"/>
          <w:shd w:val="clear" w:color="auto" w:fill="FFFFFF"/>
        </w:rPr>
        <w:t>were</w:t>
      </w:r>
      <w:r w:rsidRPr="00844281" w:rsidR="003F0278">
        <w:rPr>
          <w:color w:val="000000" w:themeColor="text1"/>
          <w:szCs w:val="24"/>
          <w:shd w:val="clear" w:color="auto" w:fill="FFFFFF"/>
        </w:rPr>
        <w:t xml:space="preserve"> consulted/listened to etc</w:t>
      </w:r>
      <w:r w:rsidRPr="00844281" w:rsidR="00844281">
        <w:rPr>
          <w:color w:val="000000" w:themeColor="text1"/>
          <w:szCs w:val="24"/>
          <w:shd w:val="clear" w:color="auto" w:fill="FFFFFF"/>
        </w:rPr>
        <w:t>.</w:t>
      </w:r>
    </w:p>
    <w:p w:rsidRPr="0071479E" w:rsidR="0071479E" w:rsidP="00615D24" w:rsidRDefault="00844281" w14:paraId="3635E707" w14:textId="11CE826D">
      <w:pPr>
        <w:pStyle w:val="ListParagraph"/>
        <w:numPr>
          <w:ilvl w:val="0"/>
          <w:numId w:val="4"/>
        </w:numPr>
      </w:pPr>
      <w:r>
        <w:rPr>
          <w:szCs w:val="24"/>
        </w:rPr>
        <w:t>Include a summary of the key events.  This must not e</w:t>
      </w:r>
      <w:r w:rsidR="000D5064">
        <w:rPr>
          <w:szCs w:val="24"/>
        </w:rPr>
        <w:t>x</w:t>
      </w:r>
      <w:r>
        <w:rPr>
          <w:szCs w:val="24"/>
        </w:rPr>
        <w:t>ceed 40% of the wordco</w:t>
      </w:r>
      <w:r w:rsidR="0071479E">
        <w:rPr>
          <w:szCs w:val="24"/>
        </w:rPr>
        <w:t>unt</w:t>
      </w:r>
    </w:p>
    <w:p w:rsidRPr="000D5064" w:rsidR="0071479E" w:rsidP="00615D24" w:rsidRDefault="0071479E" w14:paraId="2BCEF066" w14:textId="5F883B0B">
      <w:pPr>
        <w:pStyle w:val="ListParagraph"/>
        <w:numPr>
          <w:ilvl w:val="0"/>
          <w:numId w:val="4"/>
        </w:numPr>
        <w:rPr>
          <w:color w:val="000000" w:themeColor="text1"/>
        </w:rPr>
      </w:pPr>
      <w:r w:rsidR="0071479E">
        <w:rPr/>
        <w:t>Focus on the analysis and finding</w:t>
      </w:r>
      <w:r w:rsidR="00955FE2">
        <w:rPr/>
        <w:t>s,</w:t>
      </w:r>
      <w:r w:rsidR="000D5064">
        <w:rPr/>
        <w:t xml:space="preserve"> </w:t>
      </w:r>
      <w:r w:rsidR="0071479E">
        <w:rPr/>
        <w:t xml:space="preserve">and only </w:t>
      </w:r>
      <w:r w:rsidR="0071479E">
        <w:rPr/>
        <w:t>provide</w:t>
      </w:r>
      <w:r w:rsidR="0071479E">
        <w:rPr/>
        <w:t xml:space="preserve"> a summary narrative of the key events of importance to these, not the entire case history which should be summarised as above.  This must not be less than 60% of the above wordcount</w:t>
      </w:r>
      <w:r w:rsidR="0071479E">
        <w:rPr/>
        <w:t>.</w:t>
      </w:r>
      <w:r w:rsidR="00955FE2">
        <w:rPr/>
        <w:t xml:space="preserve">  </w:t>
      </w:r>
      <w:r w:rsidR="00E86E3C">
        <w:rPr/>
        <w:t xml:space="preserve">The analysis should consider, where applicable from the evidence </w:t>
      </w:r>
      <w:r w:rsidR="00E86E3C">
        <w:rPr/>
        <w:t>emerging</w:t>
      </w:r>
      <w:r w:rsidR="00E86E3C">
        <w:rPr/>
        <w:t xml:space="preserve"> from </w:t>
      </w:r>
      <w:r w:rsidR="536DF67B">
        <w:rPr/>
        <w:t>the Review:</w:t>
      </w:r>
    </w:p>
    <w:p w:rsidRPr="000D5064" w:rsidR="000D5064" w:rsidP="000D5064" w:rsidRDefault="002C6DA9" w14:paraId="03E90F23" w14:textId="3DCFFEEB">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 xml:space="preserve">Whether </w:t>
      </w:r>
      <w:r w:rsidRPr="003E4AF9" w:rsidR="003E4AF9">
        <w:rPr>
          <w:rFonts w:ascii="Arial" w:hAnsi="Arial" w:cs="Arial"/>
          <w:color w:val="FF0000"/>
          <w:sz w:val="24"/>
          <w:szCs w:val="24"/>
        </w:rPr>
        <w:t>[insert name(s) and/or family/friends/advocate involved in the review]</w:t>
      </w:r>
      <w:r w:rsidRPr="003E4AF9" w:rsidR="003E4AF9">
        <w:rPr>
          <w:rFonts w:ascii="Arial" w:hAnsi="Arial" w:cs="Arial"/>
          <w:color w:val="000000" w:themeColor="text1"/>
          <w:sz w:val="24"/>
          <w:szCs w:val="24"/>
        </w:rPr>
        <w:t xml:space="preserve">, </w:t>
      </w:r>
      <w:r w:rsidRPr="000D5064">
        <w:rPr>
          <w:rFonts w:ascii="Arial" w:hAnsi="Arial" w:cs="Arial"/>
          <w:color w:val="000000" w:themeColor="text1"/>
          <w:sz w:val="24"/>
          <w:szCs w:val="24"/>
        </w:rPr>
        <w:t>were</w:t>
      </w:r>
      <w:r w:rsidRPr="000D5064" w:rsidR="00955FE2">
        <w:rPr>
          <w:rFonts w:ascii="Arial" w:hAnsi="Arial" w:cs="Arial"/>
          <w:color w:val="000000" w:themeColor="text1"/>
          <w:sz w:val="24"/>
          <w:szCs w:val="24"/>
        </w:rPr>
        <w:t xml:space="preserve"> listened to</w:t>
      </w:r>
      <w:r w:rsidRPr="000D5064">
        <w:rPr>
          <w:rFonts w:ascii="Arial" w:hAnsi="Arial" w:cs="Arial"/>
          <w:color w:val="000000" w:themeColor="text1"/>
          <w:sz w:val="24"/>
          <w:szCs w:val="24"/>
        </w:rPr>
        <w:t xml:space="preserve"> and responded to as individuals</w:t>
      </w:r>
    </w:p>
    <w:p w:rsidRPr="000D5064" w:rsidR="000D5064" w:rsidP="000D5064" w:rsidRDefault="002C6DA9" w14:paraId="0C25000E"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rPr>
        <w:t xml:space="preserve">The </w:t>
      </w:r>
      <w:r w:rsidRPr="000D5064" w:rsidR="00955FE2">
        <w:rPr>
          <w:rFonts w:ascii="Arial" w:hAnsi="Arial" w:cs="Arial"/>
          <w:color w:val="000000" w:themeColor="text1"/>
          <w:sz w:val="24"/>
          <w:szCs w:val="24"/>
        </w:rPr>
        <w:t>quality of safeguarding practice</w:t>
      </w:r>
    </w:p>
    <w:p w:rsidRPr="000D5064" w:rsidR="000D5064" w:rsidP="000D5064" w:rsidRDefault="002C6DA9" w14:paraId="29101EF3"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 xml:space="preserve">The </w:t>
      </w:r>
      <w:r w:rsidRPr="000D5064" w:rsidR="00955FE2">
        <w:rPr>
          <w:rFonts w:ascii="Arial" w:hAnsi="Arial" w:cs="Arial"/>
          <w:color w:val="000000" w:themeColor="text1"/>
          <w:sz w:val="24"/>
          <w:szCs w:val="24"/>
        </w:rPr>
        <w:t>quality of supervision</w:t>
      </w:r>
    </w:p>
    <w:p w:rsidRPr="000D5064" w:rsidR="000D5064" w:rsidP="000D5064" w:rsidRDefault="00102EA4" w14:paraId="755FB074"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A</w:t>
      </w:r>
      <w:r w:rsidRPr="000D5064" w:rsidR="00955FE2">
        <w:rPr>
          <w:rFonts w:ascii="Arial" w:hAnsi="Arial" w:cs="Arial"/>
          <w:color w:val="000000" w:themeColor="text1"/>
          <w:sz w:val="24"/>
          <w:szCs w:val="24"/>
        </w:rPr>
        <w:t>ny relevant policies &amp; procedures</w:t>
      </w:r>
    </w:p>
    <w:p w:rsidRPr="000D5064" w:rsidR="000D5064" w:rsidP="000D5064" w:rsidRDefault="00102EA4" w14:paraId="2FE6BC5B"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C</w:t>
      </w:r>
      <w:r w:rsidRPr="000D5064" w:rsidR="00955FE2">
        <w:rPr>
          <w:rFonts w:ascii="Arial" w:hAnsi="Arial" w:cs="Arial"/>
          <w:color w:val="000000" w:themeColor="text1"/>
          <w:sz w:val="24"/>
          <w:szCs w:val="24"/>
        </w:rPr>
        <w:t>ommunication/sharing of information between agencies</w:t>
      </w:r>
    </w:p>
    <w:p w:rsidRPr="000D5064" w:rsidR="000D5064" w:rsidP="000D5064" w:rsidRDefault="00102EA4" w14:paraId="0AAEBBE4"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A</w:t>
      </w:r>
      <w:r w:rsidRPr="000D5064" w:rsidR="00955FE2">
        <w:rPr>
          <w:rFonts w:ascii="Arial" w:hAnsi="Arial" w:cs="Arial"/>
          <w:color w:val="000000" w:themeColor="text1"/>
          <w:sz w:val="24"/>
          <w:szCs w:val="24"/>
        </w:rPr>
        <w:t>ny evidence of escalation where there were professional differences</w:t>
      </w:r>
    </w:p>
    <w:p w:rsidRPr="000D5064" w:rsidR="000D5064" w:rsidP="000D5064" w:rsidRDefault="00102EA4" w14:paraId="19B22D4B"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P</w:t>
      </w:r>
      <w:r w:rsidRPr="000D5064" w:rsidR="00955FE2">
        <w:rPr>
          <w:rFonts w:ascii="Arial" w:hAnsi="Arial" w:cs="Arial"/>
          <w:color w:val="000000" w:themeColor="text1"/>
          <w:sz w:val="24"/>
          <w:szCs w:val="24"/>
        </w:rPr>
        <w:t>rofessional curiosity</w:t>
      </w:r>
    </w:p>
    <w:p w:rsidRPr="000D5064" w:rsidR="000D5064" w:rsidP="000D5064" w:rsidRDefault="00102EA4" w14:paraId="718CE576" w14:textId="77777777">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rPr>
        <w:t>A</w:t>
      </w:r>
      <w:r w:rsidRPr="000D5064" w:rsidR="00955FE2">
        <w:rPr>
          <w:rFonts w:ascii="Arial" w:hAnsi="Arial" w:cs="Arial"/>
          <w:color w:val="000000" w:themeColor="text1"/>
          <w:sz w:val="24"/>
          <w:szCs w:val="24"/>
        </w:rPr>
        <w:t>ny relevant previous review/audit relating to the circumstances of the review</w:t>
      </w:r>
    </w:p>
    <w:p w:rsidRPr="000D5064" w:rsidR="00955FE2" w:rsidP="000D5064" w:rsidRDefault="00333A0C" w14:paraId="0F90DA66" w14:textId="6C7FDC0A">
      <w:pPr>
        <w:pStyle w:val="xxmsolistparagraph"/>
        <w:numPr>
          <w:ilvl w:val="1"/>
          <w:numId w:val="4"/>
        </w:numPr>
        <w:ind w:left="1440"/>
        <w:rPr>
          <w:rFonts w:ascii="Arial" w:hAnsi="Arial" w:cs="Arial"/>
          <w:color w:val="000000" w:themeColor="text1"/>
        </w:rPr>
      </w:pPr>
      <w:r w:rsidRPr="000D5064">
        <w:rPr>
          <w:rFonts w:ascii="Arial" w:hAnsi="Arial" w:cs="Arial"/>
          <w:color w:val="000000" w:themeColor="text1"/>
          <w:sz w:val="24"/>
          <w:szCs w:val="24"/>
        </w:rPr>
        <w:t>Learning ident</w:t>
      </w:r>
      <w:r w:rsidR="000D5064">
        <w:rPr>
          <w:rFonts w:ascii="Arial" w:hAnsi="Arial" w:cs="Arial"/>
          <w:color w:val="000000" w:themeColor="text1"/>
          <w:sz w:val="24"/>
          <w:szCs w:val="24"/>
        </w:rPr>
        <w:t>ified</w:t>
      </w:r>
      <w:r w:rsidRPr="000D5064">
        <w:rPr>
          <w:rFonts w:ascii="Arial" w:hAnsi="Arial" w:cs="Arial"/>
          <w:color w:val="000000" w:themeColor="text1"/>
          <w:sz w:val="24"/>
          <w:szCs w:val="24"/>
        </w:rPr>
        <w:t xml:space="preserve"> through the </w:t>
      </w:r>
      <w:r w:rsidRPr="000D5064">
        <w:rPr>
          <w:rFonts w:ascii="Arial" w:hAnsi="Arial" w:cs="Arial"/>
          <w:color w:val="000000" w:themeColor="text1"/>
        </w:rPr>
        <w:t>multi-disciplinary meeting(s)</w:t>
      </w:r>
      <w:r w:rsidRPr="000D5064">
        <w:rPr>
          <w:rFonts w:ascii="Arial" w:hAnsi="Arial" w:cs="Arial"/>
          <w:color w:val="000000" w:themeColor="text1"/>
          <w:sz w:val="24"/>
          <w:szCs w:val="24"/>
        </w:rPr>
        <w:t xml:space="preserve"> </w:t>
      </w:r>
      <w:r w:rsidRPr="000D5064" w:rsidR="00955FE2">
        <w:rPr>
          <w:rFonts w:ascii="Arial" w:hAnsi="Arial" w:cs="Arial"/>
          <w:color w:val="000000" w:themeColor="text1"/>
          <w:sz w:val="24"/>
          <w:szCs w:val="24"/>
        </w:rPr>
        <w:t>(</w:t>
      </w:r>
      <w:r w:rsidRPr="000D5064">
        <w:rPr>
          <w:rFonts w:ascii="Arial" w:hAnsi="Arial" w:cs="Arial"/>
          <w:color w:val="000000" w:themeColor="text1"/>
          <w:sz w:val="24"/>
          <w:szCs w:val="24"/>
        </w:rPr>
        <w:t xml:space="preserve">see section </w:t>
      </w:r>
      <w:r w:rsidR="000D5064">
        <w:rPr>
          <w:rFonts w:ascii="Arial" w:hAnsi="Arial" w:cs="Arial"/>
          <w:color w:val="000000" w:themeColor="text1"/>
          <w:sz w:val="24"/>
          <w:szCs w:val="24"/>
        </w:rPr>
        <w:t>4</w:t>
      </w:r>
      <w:r w:rsidRPr="000D5064">
        <w:rPr>
          <w:rFonts w:ascii="Arial" w:hAnsi="Arial" w:cs="Arial"/>
          <w:color w:val="000000" w:themeColor="text1"/>
          <w:sz w:val="24"/>
          <w:szCs w:val="24"/>
        </w:rPr>
        <w:t>, above</w:t>
      </w:r>
      <w:r w:rsidRPr="000D5064" w:rsidR="00955FE2">
        <w:rPr>
          <w:rFonts w:ascii="Arial" w:hAnsi="Arial" w:cs="Arial"/>
          <w:color w:val="000000" w:themeColor="text1"/>
          <w:sz w:val="24"/>
          <w:szCs w:val="24"/>
        </w:rPr>
        <w:t>)</w:t>
      </w:r>
    </w:p>
    <w:p w:rsidR="00333A0C" w:rsidP="006277B8" w:rsidRDefault="0059600F" w14:paraId="60C586D2" w14:textId="1463D0CB">
      <w:pPr>
        <w:pStyle w:val="ListParagraph"/>
        <w:numPr>
          <w:ilvl w:val="0"/>
          <w:numId w:val="4"/>
        </w:numPr>
      </w:pPr>
      <w:r w:rsidRPr="000D5064">
        <w:rPr>
          <w:color w:val="000000" w:themeColor="text1"/>
          <w:szCs w:val="24"/>
        </w:rPr>
        <w:t>R</w:t>
      </w:r>
      <w:r w:rsidRPr="000D5064" w:rsidR="007A3D19">
        <w:rPr>
          <w:color w:val="000000" w:themeColor="text1"/>
          <w:szCs w:val="24"/>
        </w:rPr>
        <w:t>ecommendations</w:t>
      </w:r>
      <w:r w:rsidRPr="000D5064" w:rsidR="007A3D19">
        <w:rPr>
          <w:color w:val="000000" w:themeColor="text1"/>
        </w:rPr>
        <w:t xml:space="preserve"> for actio</w:t>
      </w:r>
      <w:r w:rsidRPr="000D5064" w:rsidR="0005421E">
        <w:rPr>
          <w:color w:val="000000" w:themeColor="text1"/>
        </w:rPr>
        <w:t xml:space="preserve">n.  These must be </w:t>
      </w:r>
      <w:r w:rsidRPr="000D5064" w:rsidR="00E713F9">
        <w:rPr>
          <w:color w:val="000000" w:themeColor="text1"/>
        </w:rPr>
        <w:t xml:space="preserve">worded so that they are </w:t>
      </w:r>
      <w:r w:rsidRPr="000D5064" w:rsidR="0005421E">
        <w:rPr>
          <w:color w:val="000000" w:themeColor="text1"/>
        </w:rPr>
        <w:t>Specific</w:t>
      </w:r>
      <w:r w:rsidRPr="000D5064" w:rsidR="00E713F9">
        <w:rPr>
          <w:color w:val="000000" w:themeColor="text1"/>
        </w:rPr>
        <w:t>, Measurable, Achievable, Relevant and Timebound</w:t>
      </w:r>
      <w:r w:rsidR="00461B2E">
        <w:rPr>
          <w:color w:val="000000" w:themeColor="text1"/>
        </w:rPr>
        <w:t xml:space="preserve"> (SMART)</w:t>
      </w:r>
      <w:r w:rsidRPr="000D5064" w:rsidR="006277B8">
        <w:rPr>
          <w:color w:val="000000" w:themeColor="text1"/>
        </w:rPr>
        <w:t xml:space="preserve">, </w:t>
      </w:r>
      <w:r w:rsidRPr="000D5064" w:rsidR="00333A0C">
        <w:rPr>
          <w:color w:val="000000" w:themeColor="text1"/>
          <w:szCs w:val="24"/>
        </w:rPr>
        <w:t xml:space="preserve">and be formulated </w:t>
      </w:r>
      <w:r w:rsidRPr="00461B2E" w:rsidR="00333A0C">
        <w:rPr>
          <w:color w:val="000000" w:themeColor="text1"/>
          <w:szCs w:val="24"/>
        </w:rPr>
        <w:t>through discussion with the organisational representatives participating in the review process and the SSAB’s SAR subgroup to ensure they are focused and achievable</w:t>
      </w:r>
      <w:r w:rsidRPr="00461B2E" w:rsidR="006277B8">
        <w:rPr>
          <w:color w:val="000000" w:themeColor="text1"/>
          <w:szCs w:val="24"/>
        </w:rPr>
        <w:t xml:space="preserve">.  </w:t>
      </w:r>
      <w:r w:rsidR="00333A0C">
        <w:rPr>
          <w:szCs w:val="24"/>
        </w:rPr>
        <w:t xml:space="preserve">They should be constructed so that they are clear and unambiguous, avoiding covering multiple actions** or themes within a single recommendation.  Where there are a number of recommendations covering a similar action or theme these should be clustered together under a subsection heading.  </w:t>
      </w:r>
    </w:p>
    <w:p w:rsidRPr="006277B8" w:rsidR="0005421E" w:rsidP="00BC79F6" w:rsidRDefault="006277B8" w14:paraId="0B8EE212" w14:textId="50D2512B">
      <w:pPr>
        <w:pStyle w:val="ListParagraph"/>
        <w:numPr>
          <w:ilvl w:val="0"/>
          <w:numId w:val="4"/>
        </w:numPr>
        <w:spacing w:after="0" w:line="240" w:lineRule="auto"/>
        <w:ind w:left="1060" w:hanging="357"/>
        <w:contextualSpacing w:val="0"/>
      </w:pPr>
      <w:r>
        <w:rPr>
          <w:szCs w:val="24"/>
        </w:rPr>
        <w:t>An appendix containing a reflective analysis of the approach used to undertake the SAR.</w:t>
      </w:r>
    </w:p>
    <w:p w:rsidR="006277B8" w:rsidP="006277B8" w:rsidRDefault="006277B8" w14:paraId="2F80BD38" w14:textId="497E24C2">
      <w:pPr>
        <w:pStyle w:val="ListParagraph"/>
        <w:numPr>
          <w:ilvl w:val="0"/>
          <w:numId w:val="4"/>
        </w:numPr>
        <w:spacing w:after="120" w:line="240" w:lineRule="auto"/>
        <w:ind w:left="1060" w:hanging="357"/>
        <w:contextualSpacing w:val="0"/>
      </w:pPr>
      <w:r>
        <w:rPr>
          <w:szCs w:val="24"/>
        </w:rPr>
        <w:t>A separate Practice Briefing of no more than two sides of A4 paper, in addition to a single cover sheet, that draws together the key themes and recommendations to be used by organisations when undertaking training.  A template will be provided for this.</w:t>
      </w:r>
    </w:p>
    <w:p w:rsidR="006277B8" w:rsidP="006277B8" w:rsidRDefault="006277B8" w14:paraId="4BC3CCEB" w14:textId="77777777">
      <w:pPr>
        <w:pStyle w:val="xxmsonormal"/>
        <w:ind w:left="1060"/>
      </w:pPr>
      <w:r>
        <w:rPr>
          <w:rFonts w:ascii="Arial" w:hAnsi="Arial" w:cs="Arial"/>
          <w:sz w:val="24"/>
          <w:szCs w:val="24"/>
        </w:rPr>
        <w:t>* Excluding executive summaries, introductory text describing the purpose and process of a SAR, recommendations and any appendices.</w:t>
      </w:r>
    </w:p>
    <w:p w:rsidR="006277B8" w:rsidP="006277B8" w:rsidRDefault="006277B8" w14:paraId="3199359A" w14:textId="5305DD65">
      <w:pPr>
        <w:spacing w:after="120"/>
        <w:ind w:left="1060" w:firstLine="0"/>
      </w:pPr>
      <w:r>
        <w:rPr>
          <w:szCs w:val="24"/>
        </w:rPr>
        <w:t xml:space="preserve">** For the avoidance of doubt a single </w:t>
      </w:r>
      <w:r w:rsidR="00082A18">
        <w:rPr>
          <w:szCs w:val="24"/>
        </w:rPr>
        <w:t>recommendation</w:t>
      </w:r>
      <w:r>
        <w:rPr>
          <w:szCs w:val="24"/>
        </w:rPr>
        <w:t xml:space="preserve"> for multiple organisations should be a written as single recommendation.</w:t>
      </w:r>
    </w:p>
    <w:p w:rsidR="006277B8" w:rsidP="00DB1EDC" w:rsidRDefault="006277B8" w14:paraId="1BE9A72D" w14:textId="3E301F04">
      <w:pPr>
        <w:spacing w:after="120"/>
        <w:ind w:left="720" w:firstLine="0"/>
      </w:pPr>
      <w:r>
        <w:rPr>
          <w:szCs w:val="24"/>
        </w:rPr>
        <w:lastRenderedPageBreak/>
        <w:t xml:space="preserve">All reports, including drafts, </w:t>
      </w:r>
      <w:r w:rsidR="00D37701">
        <w:rPr>
          <w:szCs w:val="24"/>
        </w:rPr>
        <w:t>must</w:t>
      </w:r>
      <w:r>
        <w:rPr>
          <w:szCs w:val="24"/>
        </w:rPr>
        <w:t xml:space="preserve"> be provided to the SSAB in an editable format that is compatible with Microsoft Word.  While the SSAB will not make any material changes to the final report without consultation with the author, it must be able to </w:t>
      </w:r>
      <w:r w:rsidR="00F20943">
        <w:rPr>
          <w:szCs w:val="24"/>
        </w:rPr>
        <w:t xml:space="preserve">add comments as tracked changes as part of </w:t>
      </w:r>
      <w:r w:rsidR="00082A18">
        <w:rPr>
          <w:szCs w:val="24"/>
        </w:rPr>
        <w:t>its</w:t>
      </w:r>
      <w:r w:rsidR="00F20943">
        <w:rPr>
          <w:szCs w:val="24"/>
        </w:rPr>
        <w:t xml:space="preserve"> factual accuracy </w:t>
      </w:r>
      <w:r w:rsidR="00082A18">
        <w:rPr>
          <w:szCs w:val="24"/>
        </w:rPr>
        <w:t xml:space="preserve">checking </w:t>
      </w:r>
      <w:r w:rsidR="00F20943">
        <w:rPr>
          <w:szCs w:val="24"/>
        </w:rPr>
        <w:t xml:space="preserve">process and </w:t>
      </w:r>
      <w:r>
        <w:rPr>
          <w:szCs w:val="24"/>
        </w:rPr>
        <w:t>edit all reports should it need to</w:t>
      </w:r>
      <w:r w:rsidR="006C610D">
        <w:rPr>
          <w:szCs w:val="24"/>
        </w:rPr>
        <w:t>, for example to format in the Board’s house style.</w:t>
      </w:r>
    </w:p>
    <w:p w:rsidR="009055B3" w:rsidP="00DB1EDC" w:rsidRDefault="009055B3" w14:paraId="78F132A8" w14:textId="64D6B4F9">
      <w:pPr>
        <w:spacing w:after="120"/>
        <w:ind w:left="720" w:firstLine="0"/>
      </w:pPr>
      <w:r>
        <w:t xml:space="preserve">The text of the reports should </w:t>
      </w:r>
      <w:r w:rsidR="002B5228">
        <w:t>explicitly</w:t>
      </w:r>
      <w:r>
        <w:t xml:space="preserve"> identify:</w:t>
      </w:r>
    </w:p>
    <w:p w:rsidR="009055B3" w:rsidP="00DB1EDC" w:rsidRDefault="00D931D8" w14:paraId="5CE1128A" w14:textId="32C52E4A">
      <w:pPr>
        <w:pStyle w:val="ListParagraph"/>
        <w:numPr>
          <w:ilvl w:val="0"/>
          <w:numId w:val="4"/>
        </w:numPr>
      </w:pPr>
      <w:r w:rsidRPr="00565210">
        <w:rPr>
          <w:color w:val="FF0000"/>
        </w:rPr>
        <w:t xml:space="preserve">[insert name(s)] </w:t>
      </w:r>
      <w:r w:rsidR="002B5228">
        <w:t>demographic information</w:t>
      </w:r>
    </w:p>
    <w:p w:rsidR="002B5228" w:rsidP="003A1878" w:rsidRDefault="002B5228" w14:paraId="7504710B" w14:textId="060566E5">
      <w:pPr>
        <w:pStyle w:val="ListParagraph"/>
        <w:numPr>
          <w:ilvl w:val="0"/>
          <w:numId w:val="4"/>
        </w:numPr>
        <w:spacing w:after="120" w:line="250" w:lineRule="auto"/>
        <w:ind w:left="1060" w:hanging="357"/>
        <w:contextualSpacing w:val="0"/>
      </w:pPr>
      <w:r>
        <w:t>T</w:t>
      </w:r>
      <w:r w:rsidRPr="002B5228">
        <w:t>he types of abuse and neglect that</w:t>
      </w:r>
      <w:r w:rsidRPr="00E40C63" w:rsidR="00D931D8">
        <w:t xml:space="preserve"> </w:t>
      </w:r>
      <w:r w:rsidRPr="00565210" w:rsidR="00D931D8">
        <w:rPr>
          <w:color w:val="FF0000"/>
        </w:rPr>
        <w:t xml:space="preserve">[insert name(s)] </w:t>
      </w:r>
      <w:r w:rsidRPr="002B5228">
        <w:t>experienced</w:t>
      </w:r>
    </w:p>
    <w:p w:rsidR="0018670C" w:rsidP="007D40BC" w:rsidRDefault="00611489" w14:paraId="15F7D878" w14:textId="5C4D5B73">
      <w:pPr>
        <w:spacing w:after="120"/>
        <w:ind w:left="720" w:firstLine="0"/>
      </w:pPr>
      <w:r>
        <w:t>The Independent Reviewer will be required to formally present their findings to the Somerset Safeguarding Adults Board once completed, and to support a future Learning Event as part of their work with the partnership.</w:t>
      </w:r>
      <w:r w:rsidR="0018670C">
        <w:rPr>
          <w:rFonts w:ascii="Times New Roman" w:hAnsi="Times New Roman" w:cs="Times New Roman"/>
          <w:sz w:val="14"/>
          <w:szCs w:val="14"/>
        </w:rPr>
        <w:t xml:space="preserve">   </w:t>
      </w:r>
    </w:p>
    <w:p w:rsidRPr="00E40C63" w:rsidR="00391A4A" w:rsidP="007D40BC" w:rsidRDefault="0018670C" w14:paraId="379841A1" w14:textId="16E56607">
      <w:pPr>
        <w:pStyle w:val="ListParagraph"/>
        <w:numPr>
          <w:ilvl w:val="0"/>
          <w:numId w:val="10"/>
        </w:numPr>
        <w:spacing w:after="120" w:line="240" w:lineRule="auto"/>
        <w:ind w:left="714" w:hanging="357"/>
        <w:contextualSpacing w:val="0"/>
        <w:rPr>
          <w:rFonts w:eastAsia="Times New Roman"/>
          <w:b/>
          <w:color w:val="auto"/>
          <w:szCs w:val="24"/>
        </w:rPr>
      </w:pPr>
      <w:r>
        <w:t> </w:t>
      </w:r>
      <w:r w:rsidR="00FA44D4">
        <w:rPr>
          <w:rFonts w:eastAsia="Times New Roman"/>
          <w:b/>
          <w:color w:val="auto"/>
          <w:szCs w:val="24"/>
        </w:rPr>
        <w:t>Lea</w:t>
      </w:r>
      <w:r w:rsidR="009F502C">
        <w:rPr>
          <w:rFonts w:eastAsia="Times New Roman"/>
          <w:b/>
          <w:color w:val="auto"/>
          <w:szCs w:val="24"/>
        </w:rPr>
        <w:t>d</w:t>
      </w:r>
      <w:r w:rsidR="00FA44D4">
        <w:rPr>
          <w:rFonts w:eastAsia="Times New Roman"/>
          <w:b/>
          <w:color w:val="auto"/>
          <w:szCs w:val="24"/>
        </w:rPr>
        <w:t xml:space="preserve"> Reviewer</w:t>
      </w:r>
    </w:p>
    <w:p w:rsidRPr="00E40C63" w:rsidR="00046C21" w:rsidP="00BC275E" w:rsidRDefault="00190DF8" w14:paraId="1F2C21E1" w14:textId="7BDE8FEB">
      <w:pPr>
        <w:spacing w:after="120"/>
        <w:ind w:left="720" w:firstLine="0"/>
      </w:pPr>
      <w:r w:rsidRPr="00E40C63">
        <w:t>To be identified</w:t>
      </w:r>
      <w:r w:rsidRPr="00E40C63" w:rsidR="007A3D19">
        <w:t xml:space="preserve"> </w:t>
      </w:r>
    </w:p>
    <w:p w:rsidRPr="00E40C63" w:rsidR="0025786C" w:rsidP="009D6886" w:rsidRDefault="0025786C" w14:paraId="630B9EA3" w14:textId="6C2AB997">
      <w:pPr>
        <w:pStyle w:val="ListParagraph"/>
        <w:numPr>
          <w:ilvl w:val="0"/>
          <w:numId w:val="10"/>
        </w:numPr>
        <w:spacing w:after="120" w:line="240" w:lineRule="auto"/>
        <w:ind w:left="714" w:hanging="357"/>
        <w:contextualSpacing w:val="0"/>
        <w:rPr>
          <w:rFonts w:eastAsia="Times New Roman"/>
          <w:b/>
          <w:color w:val="auto"/>
          <w:szCs w:val="24"/>
        </w:rPr>
      </w:pPr>
      <w:r w:rsidRPr="00E40C63">
        <w:rPr>
          <w:rFonts w:eastAsia="Times New Roman"/>
          <w:b/>
          <w:color w:val="auto"/>
          <w:szCs w:val="24"/>
        </w:rPr>
        <w:t>Involvement of</w:t>
      </w:r>
      <w:bookmarkStart w:name="_Hlk75263300" w:id="1"/>
      <w:r w:rsidRPr="00E40C63">
        <w:rPr>
          <w:rFonts w:eastAsia="Times New Roman"/>
          <w:b/>
          <w:color w:val="auto"/>
          <w:szCs w:val="24"/>
        </w:rPr>
        <w:t xml:space="preserve"> </w:t>
      </w:r>
      <w:r w:rsidRPr="00565210" w:rsidR="00FD3A06">
        <w:rPr>
          <w:color w:val="FF0000"/>
        </w:rPr>
        <w:t>[insert name(s)</w:t>
      </w:r>
      <w:r w:rsidR="00FD3A06">
        <w:rPr>
          <w:color w:val="FF0000"/>
        </w:rPr>
        <w:t xml:space="preserve"> </w:t>
      </w:r>
      <w:r w:rsidR="004869BE">
        <w:rPr>
          <w:color w:val="FF0000"/>
        </w:rPr>
        <w:t xml:space="preserve">and/or </w:t>
      </w:r>
      <w:r w:rsidR="00FD3A06">
        <w:rPr>
          <w:color w:val="FF0000"/>
        </w:rPr>
        <w:t>family/fiends/advocate as appropriate)</w:t>
      </w:r>
      <w:r w:rsidRPr="00565210" w:rsidR="00FD3A06">
        <w:rPr>
          <w:color w:val="FF0000"/>
        </w:rPr>
        <w:t>]</w:t>
      </w:r>
      <w:r w:rsidR="00FD3A06">
        <w:rPr>
          <w:color w:val="FF0000"/>
        </w:rPr>
        <w:t xml:space="preserve"> </w:t>
      </w:r>
    </w:p>
    <w:bookmarkEnd w:id="1"/>
    <w:p w:rsidR="003A1878" w:rsidP="003702A0" w:rsidRDefault="003702A0" w14:paraId="51CD23DA" w14:textId="1701CE89">
      <w:pPr>
        <w:spacing w:after="120"/>
        <w:ind w:left="720" w:firstLine="0"/>
        <w:rPr>
          <w:rFonts w:eastAsia="Times New Roman"/>
          <w:b/>
          <w:color w:val="auto"/>
          <w:szCs w:val="24"/>
        </w:rPr>
      </w:pPr>
      <w:r>
        <w:rPr>
          <w:color w:val="FF0000"/>
        </w:rPr>
        <w:t>[Insert details of outcome of invitation to be involved in review process]</w:t>
      </w:r>
    </w:p>
    <w:p w:rsidRPr="00E40C63" w:rsidR="00046C21" w:rsidP="009D6886" w:rsidRDefault="00A67E54" w14:paraId="0E635A4C" w14:textId="290577AE">
      <w:pPr>
        <w:pStyle w:val="ListParagraph"/>
        <w:numPr>
          <w:ilvl w:val="0"/>
          <w:numId w:val="10"/>
        </w:numPr>
        <w:spacing w:after="120" w:line="240" w:lineRule="auto"/>
        <w:ind w:left="714" w:hanging="357"/>
        <w:contextualSpacing w:val="0"/>
        <w:rPr>
          <w:rFonts w:eastAsia="Times New Roman"/>
          <w:b/>
          <w:color w:val="auto"/>
          <w:szCs w:val="24"/>
        </w:rPr>
      </w:pPr>
      <w:r w:rsidRPr="00E40C63">
        <w:rPr>
          <w:rFonts w:eastAsia="Times New Roman"/>
          <w:b/>
          <w:color w:val="auto"/>
          <w:szCs w:val="24"/>
        </w:rPr>
        <w:t>Multidisciplinary Review Process</w:t>
      </w:r>
      <w:r w:rsidRPr="00E40C63" w:rsidR="007A3D19">
        <w:rPr>
          <w:rFonts w:eastAsia="Times New Roman"/>
          <w:b/>
          <w:color w:val="auto"/>
          <w:szCs w:val="24"/>
        </w:rPr>
        <w:t xml:space="preserve"> Participants </w:t>
      </w:r>
    </w:p>
    <w:p w:rsidRPr="00E40C63" w:rsidR="00046C21" w:rsidP="799A807A" w:rsidRDefault="007A3D19" w14:paraId="148BE051" w14:textId="65991703">
      <w:pPr>
        <w:pStyle w:val="ListParagraph"/>
        <w:spacing w:after="120" w:line="240" w:lineRule="auto"/>
        <w:ind w:firstLine="0"/>
      </w:pPr>
      <w:r w:rsidR="007A3D19">
        <w:rPr/>
        <w:t xml:space="preserve">The Review process should be informed by </w:t>
      </w:r>
      <w:r w:rsidR="000A0FEF">
        <w:rPr/>
        <w:t xml:space="preserve">both </w:t>
      </w:r>
      <w:r w:rsidRPr="799A807A" w:rsidR="00863175">
        <w:rPr>
          <w:color w:val="FF0000"/>
        </w:rPr>
        <w:t>[</w:t>
      </w:r>
      <w:r w:rsidRPr="799A807A" w:rsidR="00863175">
        <w:rPr>
          <w:color w:val="FF0000"/>
        </w:rPr>
        <w:t xml:space="preserve">insert name(s) and/or family/fiends/advocate as </w:t>
      </w:r>
      <w:r w:rsidRPr="799A807A" w:rsidR="00863175">
        <w:rPr>
          <w:color w:val="FF0000"/>
        </w:rPr>
        <w:t>appropriate)</w:t>
      </w:r>
      <w:r w:rsidRPr="799A807A" w:rsidR="00863175">
        <w:rPr>
          <w:color w:val="FF0000"/>
        </w:rPr>
        <w:t xml:space="preserve">] </w:t>
      </w:r>
      <w:r w:rsidR="000A0FEF">
        <w:rPr/>
        <w:t xml:space="preserve">and </w:t>
      </w:r>
      <w:r w:rsidR="007A3D19">
        <w:rPr/>
        <w:t xml:space="preserve">practitioners who had been directly involved in the case, and supported by local key managers and officers </w:t>
      </w:r>
      <w:r w:rsidR="009C1487">
        <w:rPr/>
        <w:t>who</w:t>
      </w:r>
      <w:r w:rsidR="007A3D19">
        <w:rPr/>
        <w:t xml:space="preserve"> can </w:t>
      </w:r>
      <w:r w:rsidR="007A3D19">
        <w:rPr/>
        <w:t>provide</w:t>
      </w:r>
      <w:r w:rsidR="007A3D19">
        <w:rPr/>
        <w:t xml:space="preserve"> operational and strategic knowledge</w:t>
      </w:r>
      <w:r w:rsidR="007A3D19">
        <w:rPr/>
        <w:t>.</w:t>
      </w:r>
      <w:r w:rsidR="000A0FEF">
        <w:rPr/>
        <w:t xml:space="preserve">  </w:t>
      </w:r>
      <w:r w:rsidR="000A0FEF">
        <w:rPr/>
        <w:t>The organisations</w:t>
      </w:r>
      <w:r w:rsidR="009C1487">
        <w:rPr/>
        <w:t xml:space="preserve"> and individuals</w:t>
      </w:r>
      <w:r w:rsidR="000A0FEF">
        <w:rPr/>
        <w:t xml:space="preserve"> that have been identified with an involvement</w:t>
      </w:r>
      <w:r w:rsidR="007A3D19">
        <w:rPr/>
        <w:t xml:space="preserve"> </w:t>
      </w:r>
      <w:r w:rsidR="000A0FEF">
        <w:rPr/>
        <w:t>are:</w:t>
      </w:r>
    </w:p>
    <w:tbl>
      <w:tblPr>
        <w:tblStyle w:val="TableGrid"/>
        <w:tblW w:w="6476" w:type="dxa"/>
        <w:tblInd w:w="1327" w:type="dxa"/>
        <w:tblCellMar>
          <w:top w:w="48" w:type="dxa"/>
          <w:left w:w="108" w:type="dxa"/>
          <w:right w:w="115" w:type="dxa"/>
        </w:tblCellMar>
        <w:tblLook w:val="04A0" w:firstRow="1" w:lastRow="0" w:firstColumn="1" w:lastColumn="0" w:noHBand="0" w:noVBand="1"/>
      </w:tblPr>
      <w:tblGrid>
        <w:gridCol w:w="6476"/>
      </w:tblGrid>
      <w:tr w:rsidRPr="00E40C63" w:rsidR="00672BDC" w:rsidTr="095F9D55" w14:paraId="57028BA4" w14:textId="77777777">
        <w:trPr>
          <w:trHeight w:val="288"/>
        </w:trPr>
        <w:tc>
          <w:tcPr>
            <w:tcW w:w="64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40C63" w:rsidR="00672BDC" w:rsidRDefault="00672BDC" w14:paraId="0E972210" w14:textId="060B4861">
            <w:pPr>
              <w:spacing w:after="0" w:line="259" w:lineRule="auto"/>
              <w:ind w:left="0" w:firstLine="0"/>
            </w:pPr>
            <w:r w:rsidRPr="00E40C63">
              <w:rPr>
                <w:b/>
              </w:rPr>
              <w:t xml:space="preserve">Involved Agencies </w:t>
            </w:r>
            <w:r w:rsidRPr="003702A0" w:rsidR="003702A0">
              <w:rPr>
                <w:b/>
                <w:color w:val="FF0000"/>
              </w:rPr>
              <w:t>[List in this table]</w:t>
            </w:r>
          </w:p>
        </w:tc>
      </w:tr>
      <w:tr w:rsidRPr="00E40C63" w:rsidR="003702A0" w:rsidTr="095F9D55" w14:paraId="3E370D46" w14:textId="77777777">
        <w:trPr>
          <w:trHeight w:val="288"/>
        </w:trPr>
        <w:tc>
          <w:tcPr>
            <w:tcW w:w="64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40C63" w:rsidR="003702A0" w:rsidRDefault="003702A0" w14:paraId="67CCFDF2" w14:textId="77777777">
            <w:pPr>
              <w:spacing w:after="0" w:line="259" w:lineRule="auto"/>
              <w:ind w:left="0" w:firstLine="0"/>
              <w:rPr>
                <w:b/>
              </w:rPr>
            </w:pPr>
          </w:p>
        </w:tc>
      </w:tr>
    </w:tbl>
    <w:p w:rsidR="095F9D55" w:rsidRDefault="095F9D55" w14:paraId="7DD5F00B" w14:textId="32A12A55"/>
    <w:p w:rsidRPr="00E40C63" w:rsidR="00046C21" w:rsidP="00E40C63" w:rsidRDefault="007A3D19" w14:paraId="09F2738C" w14:textId="7979F32F">
      <w:pPr>
        <w:spacing w:before="120" w:after="120" w:line="250" w:lineRule="auto"/>
        <w:ind w:left="703" w:firstLine="0"/>
      </w:pPr>
      <w:r w:rsidRPr="00E40C63">
        <w:t xml:space="preserve">In undertaking reviews, Somerset's Safeguarding Adults Board expects that: </w:t>
      </w:r>
    </w:p>
    <w:p w:rsidR="00210DC2" w:rsidP="00210DC2" w:rsidRDefault="00210DC2" w14:paraId="11145BAD" w14:textId="77777777">
      <w:pPr>
        <w:pStyle w:val="ListParagraph"/>
        <w:numPr>
          <w:ilvl w:val="0"/>
          <w:numId w:val="4"/>
        </w:numPr>
      </w:pPr>
      <w:r>
        <w:t xml:space="preserve">Individuals or, where they are unable to do so their families will be invited to contribute to reviews. They should understand how they are going to be involved and their expectations should be managed appropriately and sensitively. </w:t>
      </w:r>
    </w:p>
    <w:p w:rsidRPr="00E40C63" w:rsidR="00046C21" w:rsidP="00011760" w:rsidRDefault="00A61C8C" w14:paraId="35476C0C" w14:textId="758FFB3A">
      <w:pPr>
        <w:pStyle w:val="ListParagraph"/>
        <w:numPr>
          <w:ilvl w:val="0"/>
          <w:numId w:val="4"/>
        </w:numPr>
      </w:pPr>
      <w:r>
        <w:t>T</w:t>
      </w:r>
      <w:r w:rsidRPr="00E40C63" w:rsidR="007A3D19">
        <w:t>here is a culture of continuous learning and improvement across the organisations that work together to safeguard and promote the wellbeing and empowerment of adults, identifying opportunities to draw on what works and promote good practice</w:t>
      </w:r>
      <w:r w:rsidR="00085BEA">
        <w:t>.</w:t>
      </w:r>
      <w:r w:rsidRPr="00E40C63" w:rsidR="007A3D19">
        <w:t xml:space="preserve"> </w:t>
      </w:r>
    </w:p>
    <w:p w:rsidRPr="00E40C63" w:rsidR="00046C21" w:rsidP="00011760" w:rsidRDefault="00A61C8C" w14:paraId="1008C5F4" w14:textId="0A0CAA02">
      <w:pPr>
        <w:pStyle w:val="ListParagraph"/>
        <w:numPr>
          <w:ilvl w:val="0"/>
          <w:numId w:val="4"/>
        </w:numPr>
      </w:pPr>
      <w:r>
        <w:t>T</w:t>
      </w:r>
      <w:r w:rsidRPr="00E40C63" w:rsidR="007A3D19">
        <w:t>he approach taken to reviews will be proportionate according to the scale and level of the complexity of the issues being examined</w:t>
      </w:r>
      <w:r w:rsidR="00085BEA">
        <w:t>.</w:t>
      </w:r>
      <w:r w:rsidRPr="00E40C63" w:rsidR="007A3D19">
        <w:t xml:space="preserve"> </w:t>
      </w:r>
    </w:p>
    <w:p w:rsidRPr="00E40C63" w:rsidR="00046C21" w:rsidP="00011760" w:rsidRDefault="00A61C8C" w14:paraId="3B9EE0F5" w14:textId="6F863EF7">
      <w:pPr>
        <w:pStyle w:val="ListParagraph"/>
        <w:numPr>
          <w:ilvl w:val="0"/>
          <w:numId w:val="4"/>
        </w:numPr>
      </w:pPr>
      <w:r>
        <w:t>R</w:t>
      </w:r>
      <w:r w:rsidRPr="00E40C63" w:rsidR="007A3D19">
        <w:t>eviews of serious cases will be led by individuals who are independent of the case under review and of the organisations whose actions are being reviewed</w:t>
      </w:r>
      <w:r w:rsidR="00085BEA">
        <w:t>.</w:t>
      </w:r>
      <w:r w:rsidRPr="00E40C63" w:rsidR="007A3D19">
        <w:t xml:space="preserve"> </w:t>
      </w:r>
    </w:p>
    <w:p w:rsidRPr="00E40C63" w:rsidR="00210DC2" w:rsidP="007D73B5" w:rsidRDefault="00A61C8C" w14:paraId="5196BBF3" w14:textId="10CAA770">
      <w:pPr>
        <w:pStyle w:val="ListParagraph"/>
        <w:numPr>
          <w:ilvl w:val="0"/>
          <w:numId w:val="4"/>
        </w:numPr>
      </w:pPr>
      <w:r>
        <w:t>P</w:t>
      </w:r>
      <w:r w:rsidRPr="00E40C63" w:rsidR="007A3D19">
        <w:t>rofessionals will be involved fully in reviews and invited to contribute their perspectives without fear of being blamed for actions they took in good faith</w:t>
      </w:r>
      <w:r w:rsidR="00085BEA">
        <w:t>.</w:t>
      </w:r>
    </w:p>
    <w:sectPr w:rsidRPr="00E40C63" w:rsidR="00210DC2">
      <w:footerReference w:type="default" r:id="rId17"/>
      <w:pgSz w:w="11900" w:h="16840" w:orient="portrait"/>
      <w:pgMar w:top="583" w:right="741" w:bottom="718" w:left="7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665" w:rsidP="000B6A58" w:rsidRDefault="00964665" w14:paraId="37738B19" w14:textId="77777777">
      <w:pPr>
        <w:spacing w:after="0" w:line="240" w:lineRule="auto"/>
      </w:pPr>
      <w:r>
        <w:separator/>
      </w:r>
    </w:p>
  </w:endnote>
  <w:endnote w:type="continuationSeparator" w:id="0">
    <w:p w:rsidR="00964665" w:rsidP="000B6A58" w:rsidRDefault="00964665" w14:paraId="73B403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6"/>
      <w:gridCol w:w="3351"/>
      <w:gridCol w:w="3382"/>
    </w:tblGrid>
    <w:tr w:rsidR="003F3F4E" w:rsidTr="0084698D" w14:paraId="6787728B" w14:textId="77777777">
      <w:tc>
        <w:tcPr>
          <w:tcW w:w="3476" w:type="dxa"/>
        </w:tcPr>
        <w:p w:rsidR="00D02448" w:rsidRDefault="003F3F4E" w14:paraId="663CF3AE" w14:textId="09F29125">
          <w:pPr>
            <w:pStyle w:val="Footer"/>
            <w:ind w:left="0" w:firstLine="0"/>
          </w:pPr>
          <w:r>
            <w:t>v3</w:t>
          </w:r>
        </w:p>
      </w:tc>
      <w:tc>
        <w:tcPr>
          <w:tcW w:w="3476" w:type="dxa"/>
        </w:tcPr>
        <w:p w:rsidRPr="003F3F4E" w:rsidR="00D02448" w:rsidP="003F3F4E" w:rsidRDefault="003F3F4E" w14:paraId="4B5D4C67" w14:textId="58999D64">
          <w:pPr>
            <w:pStyle w:val="Footer"/>
            <w:ind w:left="0" w:firstLine="0"/>
            <w:jc w:val="center"/>
          </w:pPr>
          <w:r w:rsidRPr="003F3F4E">
            <w:t xml:space="preserve">Page </w:t>
          </w:r>
          <w:r w:rsidRPr="003F3F4E">
            <w:fldChar w:fldCharType="begin"/>
          </w:r>
          <w:r w:rsidRPr="003F3F4E">
            <w:instrText xml:space="preserve"> PAGE  \* Arabic  \* MERGEFORMAT </w:instrText>
          </w:r>
          <w:r w:rsidRPr="003F3F4E">
            <w:fldChar w:fldCharType="separate"/>
          </w:r>
          <w:r w:rsidRPr="003F3F4E">
            <w:rPr>
              <w:noProof/>
            </w:rPr>
            <w:t>1</w:t>
          </w:r>
          <w:r w:rsidRPr="003F3F4E">
            <w:fldChar w:fldCharType="end"/>
          </w:r>
          <w:r w:rsidRPr="003F3F4E">
            <w:t xml:space="preserve"> of </w:t>
          </w:r>
          <w:r w:rsidR="00576793">
            <w:fldChar w:fldCharType="begin"/>
          </w:r>
          <w:r w:rsidR="00576793">
            <w:instrText xml:space="preserve"> NUMPAGES  \* Arabic  \* MERGEFORMAT </w:instrText>
          </w:r>
          <w:r w:rsidR="00576793">
            <w:fldChar w:fldCharType="separate"/>
          </w:r>
          <w:r w:rsidRPr="003F3F4E">
            <w:rPr>
              <w:noProof/>
            </w:rPr>
            <w:t>2</w:t>
          </w:r>
          <w:r w:rsidR="00576793">
            <w:rPr>
              <w:noProof/>
            </w:rPr>
            <w:fldChar w:fldCharType="end"/>
          </w:r>
        </w:p>
      </w:tc>
      <w:tc>
        <w:tcPr>
          <w:tcW w:w="3477" w:type="dxa"/>
        </w:tcPr>
        <w:p w:rsidR="00D02448" w:rsidP="003F3F4E" w:rsidRDefault="003F3F4E" w14:paraId="5548DE5D" w14:textId="1FD7F6FD">
          <w:pPr>
            <w:pStyle w:val="Footer"/>
            <w:ind w:left="0" w:firstLine="0"/>
            <w:jc w:val="right"/>
          </w:pPr>
          <w:r>
            <w:t>16/06/2021</w:t>
          </w:r>
        </w:p>
      </w:tc>
    </w:tr>
  </w:tbl>
  <w:p w:rsidR="00D02448" w:rsidRDefault="00D02448" w14:paraId="4130D6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665" w:rsidP="000B6A58" w:rsidRDefault="00964665" w14:paraId="5D40DE9B" w14:textId="77777777">
      <w:pPr>
        <w:spacing w:after="0" w:line="240" w:lineRule="auto"/>
      </w:pPr>
      <w:r>
        <w:separator/>
      </w:r>
    </w:p>
  </w:footnote>
  <w:footnote w:type="continuationSeparator" w:id="0">
    <w:p w:rsidR="00964665" w:rsidP="000B6A58" w:rsidRDefault="00964665" w14:paraId="0FCC17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46C"/>
    <w:multiLevelType w:val="hybridMultilevel"/>
    <w:tmpl w:val="BE60F32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8D92CD1"/>
    <w:multiLevelType w:val="hybridMultilevel"/>
    <w:tmpl w:val="04A47BF6"/>
    <w:lvl w:ilvl="0" w:tplc="F87C3A74">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07C830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0EAD7B8">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BDA4F1E">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A2AD952">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DF6D362">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1428A58">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248999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3104474">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9D269D3"/>
    <w:multiLevelType w:val="hybridMultilevel"/>
    <w:tmpl w:val="39E450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35591B"/>
    <w:multiLevelType w:val="hybridMultilevel"/>
    <w:tmpl w:val="2D487294"/>
    <w:lvl w:ilvl="0" w:tplc="F3C8008A">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642FEDC">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AB043BA">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AECD260">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F76FCF8">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2C8BB14">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3CC0234">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E18A9E8">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7128D8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121D1161"/>
    <w:multiLevelType w:val="hybridMultilevel"/>
    <w:tmpl w:val="827EA948"/>
    <w:lvl w:ilvl="0" w:tplc="A9C682BA">
      <w:start w:val="1"/>
      <w:numFmt w:val="decimal"/>
      <w:lvlText w:val="%1."/>
      <w:lvlJc w:val="left"/>
      <w:pPr>
        <w:ind w:left="-5" w:hanging="360"/>
      </w:pPr>
      <w:rPr>
        <w:rFonts w:hint="default"/>
      </w:rPr>
    </w:lvl>
    <w:lvl w:ilvl="1" w:tplc="08090019" w:tentative="1">
      <w:start w:val="1"/>
      <w:numFmt w:val="lowerLetter"/>
      <w:lvlText w:val="%2."/>
      <w:lvlJc w:val="left"/>
      <w:pPr>
        <w:ind w:left="715" w:hanging="360"/>
      </w:pPr>
    </w:lvl>
    <w:lvl w:ilvl="2" w:tplc="0809001B" w:tentative="1">
      <w:start w:val="1"/>
      <w:numFmt w:val="lowerRoman"/>
      <w:lvlText w:val="%3."/>
      <w:lvlJc w:val="right"/>
      <w:pPr>
        <w:ind w:left="1435" w:hanging="180"/>
      </w:pPr>
    </w:lvl>
    <w:lvl w:ilvl="3" w:tplc="0809000F" w:tentative="1">
      <w:start w:val="1"/>
      <w:numFmt w:val="decimal"/>
      <w:lvlText w:val="%4."/>
      <w:lvlJc w:val="left"/>
      <w:pPr>
        <w:ind w:left="2155" w:hanging="360"/>
      </w:pPr>
    </w:lvl>
    <w:lvl w:ilvl="4" w:tplc="08090019" w:tentative="1">
      <w:start w:val="1"/>
      <w:numFmt w:val="lowerLetter"/>
      <w:lvlText w:val="%5."/>
      <w:lvlJc w:val="left"/>
      <w:pPr>
        <w:ind w:left="2875" w:hanging="360"/>
      </w:pPr>
    </w:lvl>
    <w:lvl w:ilvl="5" w:tplc="0809001B" w:tentative="1">
      <w:start w:val="1"/>
      <w:numFmt w:val="lowerRoman"/>
      <w:lvlText w:val="%6."/>
      <w:lvlJc w:val="right"/>
      <w:pPr>
        <w:ind w:left="3595" w:hanging="180"/>
      </w:pPr>
    </w:lvl>
    <w:lvl w:ilvl="6" w:tplc="0809000F" w:tentative="1">
      <w:start w:val="1"/>
      <w:numFmt w:val="decimal"/>
      <w:lvlText w:val="%7."/>
      <w:lvlJc w:val="left"/>
      <w:pPr>
        <w:ind w:left="4315" w:hanging="360"/>
      </w:pPr>
    </w:lvl>
    <w:lvl w:ilvl="7" w:tplc="08090019" w:tentative="1">
      <w:start w:val="1"/>
      <w:numFmt w:val="lowerLetter"/>
      <w:lvlText w:val="%8."/>
      <w:lvlJc w:val="left"/>
      <w:pPr>
        <w:ind w:left="5035" w:hanging="360"/>
      </w:pPr>
    </w:lvl>
    <w:lvl w:ilvl="8" w:tplc="0809001B" w:tentative="1">
      <w:start w:val="1"/>
      <w:numFmt w:val="lowerRoman"/>
      <w:lvlText w:val="%9."/>
      <w:lvlJc w:val="right"/>
      <w:pPr>
        <w:ind w:left="5755" w:hanging="180"/>
      </w:pPr>
    </w:lvl>
  </w:abstractNum>
  <w:abstractNum w:abstractNumId="5" w15:restartNumberingAfterBreak="0">
    <w:nsid w:val="2A5D6342"/>
    <w:multiLevelType w:val="hybridMultilevel"/>
    <w:tmpl w:val="47E46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AA31E5"/>
    <w:multiLevelType w:val="hybridMultilevel"/>
    <w:tmpl w:val="B80E99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85B36DC"/>
    <w:multiLevelType w:val="hybridMultilevel"/>
    <w:tmpl w:val="927C0AF6"/>
    <w:lvl w:ilvl="0" w:tplc="57420280">
      <w:start w:val="1"/>
      <w:numFmt w:val="lowerLetter"/>
      <w:lvlText w:val="%1)"/>
      <w:lvlJc w:val="left"/>
      <w:pPr>
        <w:ind w:left="360" w:hanging="360"/>
      </w:pPr>
      <w:rPr>
        <w:rFonts w:hint="default"/>
        <w:i w:val="0"/>
        <w:color w:val="000000" w:themeColor="text1"/>
      </w:rPr>
    </w:lvl>
    <w:lvl w:ilvl="1" w:tplc="08090001">
      <w:start w:val="1"/>
      <w:numFmt w:val="bullet"/>
      <w:lvlText w:val=""/>
      <w:lvlJc w:val="left"/>
      <w:pPr>
        <w:ind w:left="1080" w:hanging="360"/>
      </w:pPr>
      <w:rPr>
        <w:rFonts w:hint="default" w:ascii="Symbol" w:hAnsi="Symbol"/>
      </w:rPr>
    </w:lvl>
    <w:lvl w:ilvl="2" w:tplc="08090003">
      <w:start w:val="1"/>
      <w:numFmt w:val="bullet"/>
      <w:lvlText w:val="o"/>
      <w:lvlJc w:val="left"/>
      <w:pPr>
        <w:ind w:left="1800" w:hanging="180"/>
      </w:pPr>
      <w:rPr>
        <w:rFonts w:hint="default" w:ascii="Courier New" w:hAnsi="Courier New" w:cs="Courier New"/>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884E64"/>
    <w:multiLevelType w:val="hybridMultilevel"/>
    <w:tmpl w:val="E8685BF4"/>
    <w:lvl w:ilvl="0" w:tplc="251C14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67255"/>
    <w:multiLevelType w:val="hybridMultilevel"/>
    <w:tmpl w:val="7F8C8AB2"/>
    <w:lvl w:ilvl="0" w:tplc="08090001">
      <w:start w:val="1"/>
      <w:numFmt w:val="bullet"/>
      <w:lvlText w:val=""/>
      <w:lvlJc w:val="left"/>
      <w:pPr>
        <w:ind w:left="1080" w:hanging="360"/>
      </w:pPr>
      <w:rPr>
        <w:rFonts w:hint="default" w:ascii="Symbol" w:hAnsi="Symbol"/>
      </w:rPr>
    </w:lvl>
    <w:lvl w:ilvl="1" w:tplc="72A80244">
      <w:start w:val="1"/>
      <w:numFmt w:val="bullet"/>
      <w:lvlText w:val="o"/>
      <w:lvlJc w:val="left"/>
      <w:pPr>
        <w:ind w:left="1800" w:hanging="360"/>
      </w:pPr>
      <w:rPr>
        <w:rFonts w:hint="default" w:ascii="Courier New" w:hAnsi="Courier New" w:cs="Courier New"/>
        <w:color w:val="000000" w:themeColor="text1"/>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CE73538"/>
    <w:multiLevelType w:val="hybridMultilevel"/>
    <w:tmpl w:val="2258041C"/>
    <w:lvl w:ilvl="0" w:tplc="08090001">
      <w:start w:val="1"/>
      <w:numFmt w:val="bullet"/>
      <w:lvlText w:val=""/>
      <w:lvlJc w:val="left"/>
      <w:pPr>
        <w:ind w:left="1065" w:hanging="360"/>
      </w:pPr>
      <w:rPr>
        <w:rFonts w:hint="default" w:ascii="Symbol" w:hAnsi="Symbol"/>
      </w:rPr>
    </w:lvl>
    <w:lvl w:ilvl="1" w:tplc="08090003">
      <w:start w:val="1"/>
      <w:numFmt w:val="bullet"/>
      <w:lvlText w:val="o"/>
      <w:lvlJc w:val="left"/>
      <w:pPr>
        <w:ind w:left="1785" w:hanging="360"/>
      </w:pPr>
      <w:rPr>
        <w:rFonts w:hint="default" w:ascii="Courier New" w:hAnsi="Courier New" w:cs="Courier New"/>
      </w:rPr>
    </w:lvl>
    <w:lvl w:ilvl="2" w:tplc="08090005" w:tentative="1">
      <w:start w:val="1"/>
      <w:numFmt w:val="bullet"/>
      <w:lvlText w:val=""/>
      <w:lvlJc w:val="left"/>
      <w:pPr>
        <w:ind w:left="2505" w:hanging="360"/>
      </w:pPr>
      <w:rPr>
        <w:rFonts w:hint="default" w:ascii="Wingdings" w:hAnsi="Wingdings"/>
      </w:rPr>
    </w:lvl>
    <w:lvl w:ilvl="3" w:tplc="08090001" w:tentative="1">
      <w:start w:val="1"/>
      <w:numFmt w:val="bullet"/>
      <w:lvlText w:val=""/>
      <w:lvlJc w:val="left"/>
      <w:pPr>
        <w:ind w:left="3225" w:hanging="360"/>
      </w:pPr>
      <w:rPr>
        <w:rFonts w:hint="default" w:ascii="Symbol" w:hAnsi="Symbol"/>
      </w:rPr>
    </w:lvl>
    <w:lvl w:ilvl="4" w:tplc="08090003" w:tentative="1">
      <w:start w:val="1"/>
      <w:numFmt w:val="bullet"/>
      <w:lvlText w:val="o"/>
      <w:lvlJc w:val="left"/>
      <w:pPr>
        <w:ind w:left="3945" w:hanging="360"/>
      </w:pPr>
      <w:rPr>
        <w:rFonts w:hint="default" w:ascii="Courier New" w:hAnsi="Courier New" w:cs="Courier New"/>
      </w:rPr>
    </w:lvl>
    <w:lvl w:ilvl="5" w:tplc="08090005" w:tentative="1">
      <w:start w:val="1"/>
      <w:numFmt w:val="bullet"/>
      <w:lvlText w:val=""/>
      <w:lvlJc w:val="left"/>
      <w:pPr>
        <w:ind w:left="4665" w:hanging="360"/>
      </w:pPr>
      <w:rPr>
        <w:rFonts w:hint="default" w:ascii="Wingdings" w:hAnsi="Wingdings"/>
      </w:rPr>
    </w:lvl>
    <w:lvl w:ilvl="6" w:tplc="08090001" w:tentative="1">
      <w:start w:val="1"/>
      <w:numFmt w:val="bullet"/>
      <w:lvlText w:val=""/>
      <w:lvlJc w:val="left"/>
      <w:pPr>
        <w:ind w:left="5385" w:hanging="360"/>
      </w:pPr>
      <w:rPr>
        <w:rFonts w:hint="default" w:ascii="Symbol" w:hAnsi="Symbol"/>
      </w:rPr>
    </w:lvl>
    <w:lvl w:ilvl="7" w:tplc="08090003" w:tentative="1">
      <w:start w:val="1"/>
      <w:numFmt w:val="bullet"/>
      <w:lvlText w:val="o"/>
      <w:lvlJc w:val="left"/>
      <w:pPr>
        <w:ind w:left="6105" w:hanging="360"/>
      </w:pPr>
      <w:rPr>
        <w:rFonts w:hint="default" w:ascii="Courier New" w:hAnsi="Courier New" w:cs="Courier New"/>
      </w:rPr>
    </w:lvl>
    <w:lvl w:ilvl="8" w:tplc="08090005" w:tentative="1">
      <w:start w:val="1"/>
      <w:numFmt w:val="bullet"/>
      <w:lvlText w:val=""/>
      <w:lvlJc w:val="left"/>
      <w:pPr>
        <w:ind w:left="6825" w:hanging="360"/>
      </w:pPr>
      <w:rPr>
        <w:rFonts w:hint="default" w:ascii="Wingdings" w:hAnsi="Wingdings"/>
      </w:rPr>
    </w:lvl>
  </w:abstractNum>
  <w:num w:numId="1" w16cid:durableId="1870288947">
    <w:abstractNumId w:val="3"/>
  </w:num>
  <w:num w:numId="2" w16cid:durableId="901520782">
    <w:abstractNumId w:val="1"/>
  </w:num>
  <w:num w:numId="3" w16cid:durableId="826172189">
    <w:abstractNumId w:val="9"/>
  </w:num>
  <w:num w:numId="4" w16cid:durableId="26491314">
    <w:abstractNumId w:val="10"/>
  </w:num>
  <w:num w:numId="5" w16cid:durableId="980579212">
    <w:abstractNumId w:val="2"/>
  </w:num>
  <w:num w:numId="6" w16cid:durableId="1458259360">
    <w:abstractNumId w:val="7"/>
  </w:num>
  <w:num w:numId="7" w16cid:durableId="703096305">
    <w:abstractNumId w:val="0"/>
  </w:num>
  <w:num w:numId="8" w16cid:durableId="1315723827">
    <w:abstractNumId w:val="6"/>
  </w:num>
  <w:num w:numId="9" w16cid:durableId="1998455237">
    <w:abstractNumId w:val="8"/>
  </w:num>
  <w:num w:numId="10" w16cid:durableId="1051881280">
    <w:abstractNumId w:val="4"/>
  </w:num>
  <w:num w:numId="11" w16cid:durableId="1906837207">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21"/>
    <w:rsid w:val="00002023"/>
    <w:rsid w:val="00005218"/>
    <w:rsid w:val="00011760"/>
    <w:rsid w:val="000202E2"/>
    <w:rsid w:val="000207BB"/>
    <w:rsid w:val="00046C21"/>
    <w:rsid w:val="0005421E"/>
    <w:rsid w:val="00060334"/>
    <w:rsid w:val="00065E26"/>
    <w:rsid w:val="00082A18"/>
    <w:rsid w:val="00085BEA"/>
    <w:rsid w:val="000A0FEF"/>
    <w:rsid w:val="000B0F5C"/>
    <w:rsid w:val="000B3B3E"/>
    <w:rsid w:val="000B6A58"/>
    <w:rsid w:val="000C01A5"/>
    <w:rsid w:val="000C709C"/>
    <w:rsid w:val="000D5064"/>
    <w:rsid w:val="000E1FAD"/>
    <w:rsid w:val="000F030B"/>
    <w:rsid w:val="000F4058"/>
    <w:rsid w:val="00101B88"/>
    <w:rsid w:val="00102EA4"/>
    <w:rsid w:val="00105A8E"/>
    <w:rsid w:val="001072F0"/>
    <w:rsid w:val="00117A62"/>
    <w:rsid w:val="00124DE6"/>
    <w:rsid w:val="00152B57"/>
    <w:rsid w:val="00155B42"/>
    <w:rsid w:val="00162EC5"/>
    <w:rsid w:val="0016303D"/>
    <w:rsid w:val="0016403C"/>
    <w:rsid w:val="001702BB"/>
    <w:rsid w:val="001751AE"/>
    <w:rsid w:val="001808A0"/>
    <w:rsid w:val="00180C2A"/>
    <w:rsid w:val="00185209"/>
    <w:rsid w:val="0018670C"/>
    <w:rsid w:val="00190DF8"/>
    <w:rsid w:val="001940C5"/>
    <w:rsid w:val="001B69A0"/>
    <w:rsid w:val="001C1401"/>
    <w:rsid w:val="001C71D1"/>
    <w:rsid w:val="001E0E3F"/>
    <w:rsid w:val="001F6AEC"/>
    <w:rsid w:val="00210DC2"/>
    <w:rsid w:val="00241FFC"/>
    <w:rsid w:val="00244398"/>
    <w:rsid w:val="002457F8"/>
    <w:rsid w:val="0025786C"/>
    <w:rsid w:val="002639AB"/>
    <w:rsid w:val="00277973"/>
    <w:rsid w:val="00281FC1"/>
    <w:rsid w:val="002A401E"/>
    <w:rsid w:val="002B5228"/>
    <w:rsid w:val="002C32AE"/>
    <w:rsid w:val="002C6DA9"/>
    <w:rsid w:val="002E07DB"/>
    <w:rsid w:val="00324EB5"/>
    <w:rsid w:val="00325742"/>
    <w:rsid w:val="00325D0F"/>
    <w:rsid w:val="00333A0C"/>
    <w:rsid w:val="003546A1"/>
    <w:rsid w:val="003625C3"/>
    <w:rsid w:val="003702A0"/>
    <w:rsid w:val="00375B42"/>
    <w:rsid w:val="00391A4A"/>
    <w:rsid w:val="003A1878"/>
    <w:rsid w:val="003A4AC8"/>
    <w:rsid w:val="003E4AF9"/>
    <w:rsid w:val="003F0278"/>
    <w:rsid w:val="003F3F4E"/>
    <w:rsid w:val="003F5452"/>
    <w:rsid w:val="0040424F"/>
    <w:rsid w:val="00407514"/>
    <w:rsid w:val="004146E0"/>
    <w:rsid w:val="00424E29"/>
    <w:rsid w:val="004341B4"/>
    <w:rsid w:val="00442DE9"/>
    <w:rsid w:val="0045302A"/>
    <w:rsid w:val="00454D89"/>
    <w:rsid w:val="00461B2E"/>
    <w:rsid w:val="00467C60"/>
    <w:rsid w:val="004869BE"/>
    <w:rsid w:val="00491118"/>
    <w:rsid w:val="004C5BBF"/>
    <w:rsid w:val="004C7D93"/>
    <w:rsid w:val="004E153A"/>
    <w:rsid w:val="004F386A"/>
    <w:rsid w:val="00515CF7"/>
    <w:rsid w:val="00515DCD"/>
    <w:rsid w:val="00537B48"/>
    <w:rsid w:val="005604D4"/>
    <w:rsid w:val="0056277D"/>
    <w:rsid w:val="00565210"/>
    <w:rsid w:val="0056568E"/>
    <w:rsid w:val="005734F8"/>
    <w:rsid w:val="00576793"/>
    <w:rsid w:val="00577B50"/>
    <w:rsid w:val="00580547"/>
    <w:rsid w:val="00584C92"/>
    <w:rsid w:val="00593DB0"/>
    <w:rsid w:val="00595AAE"/>
    <w:rsid w:val="0059600F"/>
    <w:rsid w:val="005A2979"/>
    <w:rsid w:val="005A72B9"/>
    <w:rsid w:val="005A7C34"/>
    <w:rsid w:val="005C47A5"/>
    <w:rsid w:val="005C4E28"/>
    <w:rsid w:val="005D22D2"/>
    <w:rsid w:val="005D3922"/>
    <w:rsid w:val="00600B92"/>
    <w:rsid w:val="00611489"/>
    <w:rsid w:val="0061327D"/>
    <w:rsid w:val="00615D24"/>
    <w:rsid w:val="006277B8"/>
    <w:rsid w:val="00631C69"/>
    <w:rsid w:val="006514EB"/>
    <w:rsid w:val="006632BD"/>
    <w:rsid w:val="0067226A"/>
    <w:rsid w:val="00672BDC"/>
    <w:rsid w:val="00694603"/>
    <w:rsid w:val="006A2BDB"/>
    <w:rsid w:val="006C20E0"/>
    <w:rsid w:val="006C28E7"/>
    <w:rsid w:val="006C610D"/>
    <w:rsid w:val="006D25A3"/>
    <w:rsid w:val="006E4218"/>
    <w:rsid w:val="00710289"/>
    <w:rsid w:val="0071479E"/>
    <w:rsid w:val="00714C01"/>
    <w:rsid w:val="00716832"/>
    <w:rsid w:val="0072217F"/>
    <w:rsid w:val="00722358"/>
    <w:rsid w:val="00725EDA"/>
    <w:rsid w:val="00730F90"/>
    <w:rsid w:val="0075531C"/>
    <w:rsid w:val="007572D4"/>
    <w:rsid w:val="007702F8"/>
    <w:rsid w:val="0077395D"/>
    <w:rsid w:val="00774FBA"/>
    <w:rsid w:val="00776453"/>
    <w:rsid w:val="00797BBA"/>
    <w:rsid w:val="007A3D19"/>
    <w:rsid w:val="007A7749"/>
    <w:rsid w:val="007B212A"/>
    <w:rsid w:val="007B57DA"/>
    <w:rsid w:val="007D0E09"/>
    <w:rsid w:val="007D40BC"/>
    <w:rsid w:val="007D73B5"/>
    <w:rsid w:val="007E2129"/>
    <w:rsid w:val="007E31B5"/>
    <w:rsid w:val="007F3654"/>
    <w:rsid w:val="00800F7D"/>
    <w:rsid w:val="00827D3A"/>
    <w:rsid w:val="0084205B"/>
    <w:rsid w:val="00844281"/>
    <w:rsid w:val="0084698D"/>
    <w:rsid w:val="00852B84"/>
    <w:rsid w:val="00856238"/>
    <w:rsid w:val="00863175"/>
    <w:rsid w:val="00865A0E"/>
    <w:rsid w:val="00872878"/>
    <w:rsid w:val="00872C05"/>
    <w:rsid w:val="00884C0E"/>
    <w:rsid w:val="00895434"/>
    <w:rsid w:val="008B75B3"/>
    <w:rsid w:val="008C7C0F"/>
    <w:rsid w:val="008D0B93"/>
    <w:rsid w:val="008D2BF4"/>
    <w:rsid w:val="008E3E8B"/>
    <w:rsid w:val="008E696E"/>
    <w:rsid w:val="008F27A4"/>
    <w:rsid w:val="009055B3"/>
    <w:rsid w:val="00914EFA"/>
    <w:rsid w:val="00924BCD"/>
    <w:rsid w:val="009258BE"/>
    <w:rsid w:val="00926DBC"/>
    <w:rsid w:val="00933D01"/>
    <w:rsid w:val="009404B8"/>
    <w:rsid w:val="00942011"/>
    <w:rsid w:val="0095415B"/>
    <w:rsid w:val="00955FE2"/>
    <w:rsid w:val="00964665"/>
    <w:rsid w:val="00966CB7"/>
    <w:rsid w:val="00967AEE"/>
    <w:rsid w:val="00973D4C"/>
    <w:rsid w:val="009B00E1"/>
    <w:rsid w:val="009B0A79"/>
    <w:rsid w:val="009C1487"/>
    <w:rsid w:val="009D2A20"/>
    <w:rsid w:val="009D6886"/>
    <w:rsid w:val="009E278C"/>
    <w:rsid w:val="009E2F55"/>
    <w:rsid w:val="009F183D"/>
    <w:rsid w:val="009F502C"/>
    <w:rsid w:val="009F5BB7"/>
    <w:rsid w:val="00A017BE"/>
    <w:rsid w:val="00A12748"/>
    <w:rsid w:val="00A33152"/>
    <w:rsid w:val="00A335AE"/>
    <w:rsid w:val="00A34C6E"/>
    <w:rsid w:val="00A36023"/>
    <w:rsid w:val="00A3727D"/>
    <w:rsid w:val="00A46888"/>
    <w:rsid w:val="00A46938"/>
    <w:rsid w:val="00A53C25"/>
    <w:rsid w:val="00A60352"/>
    <w:rsid w:val="00A61C8C"/>
    <w:rsid w:val="00A64254"/>
    <w:rsid w:val="00A67E54"/>
    <w:rsid w:val="00A75068"/>
    <w:rsid w:val="00A84590"/>
    <w:rsid w:val="00A96214"/>
    <w:rsid w:val="00AA679B"/>
    <w:rsid w:val="00AA696B"/>
    <w:rsid w:val="00AB6A45"/>
    <w:rsid w:val="00AE2BC2"/>
    <w:rsid w:val="00AE61F8"/>
    <w:rsid w:val="00AF4655"/>
    <w:rsid w:val="00B335A2"/>
    <w:rsid w:val="00B3653F"/>
    <w:rsid w:val="00B369FA"/>
    <w:rsid w:val="00B43A5A"/>
    <w:rsid w:val="00B56D39"/>
    <w:rsid w:val="00B64215"/>
    <w:rsid w:val="00B80440"/>
    <w:rsid w:val="00B82371"/>
    <w:rsid w:val="00B82BE9"/>
    <w:rsid w:val="00B861A9"/>
    <w:rsid w:val="00B91158"/>
    <w:rsid w:val="00B918AA"/>
    <w:rsid w:val="00B9250A"/>
    <w:rsid w:val="00BA663A"/>
    <w:rsid w:val="00BB0C11"/>
    <w:rsid w:val="00BB1C80"/>
    <w:rsid w:val="00BC275E"/>
    <w:rsid w:val="00BC55B3"/>
    <w:rsid w:val="00BC79F6"/>
    <w:rsid w:val="00C00068"/>
    <w:rsid w:val="00C013E5"/>
    <w:rsid w:val="00C24407"/>
    <w:rsid w:val="00C32D97"/>
    <w:rsid w:val="00C43CA6"/>
    <w:rsid w:val="00C459D4"/>
    <w:rsid w:val="00C701F6"/>
    <w:rsid w:val="00C8327A"/>
    <w:rsid w:val="00C844FF"/>
    <w:rsid w:val="00C9622C"/>
    <w:rsid w:val="00CA4821"/>
    <w:rsid w:val="00CB3BD8"/>
    <w:rsid w:val="00CD1FA3"/>
    <w:rsid w:val="00CD5A5F"/>
    <w:rsid w:val="00D02448"/>
    <w:rsid w:val="00D02EA0"/>
    <w:rsid w:val="00D034F3"/>
    <w:rsid w:val="00D14850"/>
    <w:rsid w:val="00D22E8D"/>
    <w:rsid w:val="00D27CFC"/>
    <w:rsid w:val="00D37701"/>
    <w:rsid w:val="00D6630A"/>
    <w:rsid w:val="00D81D8C"/>
    <w:rsid w:val="00D915E4"/>
    <w:rsid w:val="00D91835"/>
    <w:rsid w:val="00D92550"/>
    <w:rsid w:val="00D931D8"/>
    <w:rsid w:val="00D9327A"/>
    <w:rsid w:val="00D9402F"/>
    <w:rsid w:val="00D9455C"/>
    <w:rsid w:val="00DA1E49"/>
    <w:rsid w:val="00DB1EDC"/>
    <w:rsid w:val="00DB4646"/>
    <w:rsid w:val="00DD7CB7"/>
    <w:rsid w:val="00DE22E6"/>
    <w:rsid w:val="00DE4070"/>
    <w:rsid w:val="00DE4427"/>
    <w:rsid w:val="00E23148"/>
    <w:rsid w:val="00E40C63"/>
    <w:rsid w:val="00E477B3"/>
    <w:rsid w:val="00E66D7F"/>
    <w:rsid w:val="00E713F9"/>
    <w:rsid w:val="00E82A1C"/>
    <w:rsid w:val="00E83DF7"/>
    <w:rsid w:val="00E86E3C"/>
    <w:rsid w:val="00E876C3"/>
    <w:rsid w:val="00E903E1"/>
    <w:rsid w:val="00E97CA3"/>
    <w:rsid w:val="00EA19F8"/>
    <w:rsid w:val="00EA5E8E"/>
    <w:rsid w:val="00EB4A4F"/>
    <w:rsid w:val="00EB6706"/>
    <w:rsid w:val="00EF15DD"/>
    <w:rsid w:val="00F079EE"/>
    <w:rsid w:val="00F14C85"/>
    <w:rsid w:val="00F20943"/>
    <w:rsid w:val="00F21D2E"/>
    <w:rsid w:val="00F80554"/>
    <w:rsid w:val="00F807D9"/>
    <w:rsid w:val="00F81D39"/>
    <w:rsid w:val="00FA4361"/>
    <w:rsid w:val="00FA44D4"/>
    <w:rsid w:val="00FB411D"/>
    <w:rsid w:val="00FC012D"/>
    <w:rsid w:val="00FC1100"/>
    <w:rsid w:val="00FD3A06"/>
    <w:rsid w:val="00FD3CBB"/>
    <w:rsid w:val="00FD4EB5"/>
    <w:rsid w:val="00FE70E0"/>
    <w:rsid w:val="00FF6CA3"/>
    <w:rsid w:val="00FF7F22"/>
    <w:rsid w:val="095F9D55"/>
    <w:rsid w:val="0F5EAFFE"/>
    <w:rsid w:val="10940FE1"/>
    <w:rsid w:val="1984F0D1"/>
    <w:rsid w:val="21CF5DF3"/>
    <w:rsid w:val="24C3433E"/>
    <w:rsid w:val="256BAABE"/>
    <w:rsid w:val="29EF9309"/>
    <w:rsid w:val="3037CB58"/>
    <w:rsid w:val="3C190E54"/>
    <w:rsid w:val="404670DF"/>
    <w:rsid w:val="435B9157"/>
    <w:rsid w:val="4D435EFB"/>
    <w:rsid w:val="536DF67B"/>
    <w:rsid w:val="54BFC56C"/>
    <w:rsid w:val="54FDA75D"/>
    <w:rsid w:val="56B14369"/>
    <w:rsid w:val="5D2E29E8"/>
    <w:rsid w:val="616A9FAA"/>
    <w:rsid w:val="630D2DA6"/>
    <w:rsid w:val="676F5676"/>
    <w:rsid w:val="71FAEBEE"/>
    <w:rsid w:val="723294FD"/>
    <w:rsid w:val="72E4B470"/>
    <w:rsid w:val="77CD8F4A"/>
    <w:rsid w:val="799A8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89B8D"/>
  <w15:docId w15:val="{3298859E-3DE0-471D-9C74-1511BCFC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49" w:lineRule="auto"/>
      <w:ind w:left="370" w:hanging="37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hAnsi="Arial" w:eastAsia="Arial" w:cs="Arial"/>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color w:val="000000"/>
      <w:sz w:val="24"/>
      <w:u w:val="single" w:color="000000"/>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190DF8"/>
    <w:pPr>
      <w:ind w:left="720"/>
      <w:contextualSpacing/>
    </w:pPr>
  </w:style>
  <w:style w:type="paragraph" w:styleId="EndnoteText">
    <w:name w:val="endnote text"/>
    <w:basedOn w:val="Normal"/>
    <w:link w:val="EndnoteTextChar"/>
    <w:uiPriority w:val="99"/>
    <w:semiHidden/>
    <w:unhideWhenUsed/>
    <w:rsid w:val="000B6A5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0B6A58"/>
    <w:rPr>
      <w:rFonts w:ascii="Arial" w:hAnsi="Arial" w:eastAsia="Arial" w:cs="Arial"/>
      <w:color w:val="000000"/>
      <w:sz w:val="20"/>
      <w:szCs w:val="20"/>
    </w:rPr>
  </w:style>
  <w:style w:type="character" w:styleId="EndnoteReference">
    <w:name w:val="endnote reference"/>
    <w:basedOn w:val="DefaultParagraphFont"/>
    <w:uiPriority w:val="99"/>
    <w:semiHidden/>
    <w:unhideWhenUsed/>
    <w:rsid w:val="000B6A58"/>
    <w:rPr>
      <w:vertAlign w:val="superscript"/>
    </w:rPr>
  </w:style>
  <w:style w:type="character" w:styleId="Hyperlink">
    <w:name w:val="Hyperlink"/>
    <w:basedOn w:val="DefaultParagraphFont"/>
    <w:uiPriority w:val="99"/>
    <w:unhideWhenUsed/>
    <w:rsid w:val="000B6A58"/>
    <w:rPr>
      <w:color w:val="0563C1" w:themeColor="hyperlink"/>
      <w:u w:val="single"/>
    </w:rPr>
  </w:style>
  <w:style w:type="character" w:styleId="UnresolvedMention1" w:customStyle="1">
    <w:name w:val="Unresolved Mention1"/>
    <w:basedOn w:val="DefaultParagraphFont"/>
    <w:uiPriority w:val="99"/>
    <w:semiHidden/>
    <w:unhideWhenUsed/>
    <w:rsid w:val="000B6A58"/>
    <w:rPr>
      <w:color w:val="808080"/>
      <w:shd w:val="clear" w:color="auto" w:fill="E6E6E6"/>
    </w:rPr>
  </w:style>
  <w:style w:type="paragraph" w:styleId="BalloonText">
    <w:name w:val="Balloon Text"/>
    <w:basedOn w:val="Normal"/>
    <w:link w:val="BalloonTextChar"/>
    <w:uiPriority w:val="99"/>
    <w:semiHidden/>
    <w:unhideWhenUsed/>
    <w:rsid w:val="007B212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212A"/>
    <w:rPr>
      <w:rFonts w:ascii="Segoe UI" w:hAnsi="Segoe UI" w:eastAsia="Arial" w:cs="Segoe UI"/>
      <w:color w:val="000000"/>
      <w:sz w:val="18"/>
      <w:szCs w:val="18"/>
    </w:rPr>
  </w:style>
  <w:style w:type="character" w:styleId="CommentReference">
    <w:name w:val="annotation reference"/>
    <w:basedOn w:val="DefaultParagraphFont"/>
    <w:uiPriority w:val="99"/>
    <w:semiHidden/>
    <w:unhideWhenUsed/>
    <w:rsid w:val="00D02EA0"/>
    <w:rPr>
      <w:sz w:val="16"/>
      <w:szCs w:val="16"/>
    </w:rPr>
  </w:style>
  <w:style w:type="paragraph" w:styleId="CommentText">
    <w:name w:val="annotation text"/>
    <w:basedOn w:val="Normal"/>
    <w:link w:val="CommentTextChar"/>
    <w:uiPriority w:val="99"/>
    <w:unhideWhenUsed/>
    <w:rsid w:val="00D02EA0"/>
    <w:pPr>
      <w:spacing w:line="240" w:lineRule="auto"/>
    </w:pPr>
    <w:rPr>
      <w:sz w:val="20"/>
      <w:szCs w:val="20"/>
    </w:rPr>
  </w:style>
  <w:style w:type="character" w:styleId="CommentTextChar" w:customStyle="1">
    <w:name w:val="Comment Text Char"/>
    <w:basedOn w:val="DefaultParagraphFont"/>
    <w:link w:val="CommentText"/>
    <w:uiPriority w:val="99"/>
    <w:rsid w:val="00D02EA0"/>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D02EA0"/>
    <w:rPr>
      <w:b/>
      <w:bCs/>
    </w:rPr>
  </w:style>
  <w:style w:type="character" w:styleId="CommentSubjectChar" w:customStyle="1">
    <w:name w:val="Comment Subject Char"/>
    <w:basedOn w:val="CommentTextChar"/>
    <w:link w:val="CommentSubject"/>
    <w:uiPriority w:val="99"/>
    <w:semiHidden/>
    <w:rsid w:val="00D02EA0"/>
    <w:rPr>
      <w:rFonts w:ascii="Arial" w:hAnsi="Arial" w:eastAsia="Arial" w:cs="Arial"/>
      <w:b/>
      <w:bCs/>
      <w:color w:val="000000"/>
      <w:sz w:val="20"/>
      <w:szCs w:val="20"/>
    </w:rPr>
  </w:style>
  <w:style w:type="paragraph" w:styleId="xxmsonormal" w:customStyle="1">
    <w:name w:val="x_xmsonormal"/>
    <w:basedOn w:val="Normal"/>
    <w:rsid w:val="0018670C"/>
    <w:pPr>
      <w:spacing w:after="0" w:line="240" w:lineRule="auto"/>
      <w:ind w:left="0" w:firstLine="0"/>
    </w:pPr>
    <w:rPr>
      <w:rFonts w:ascii="Calibri" w:hAnsi="Calibri" w:cs="Calibri" w:eastAsiaTheme="minorHAnsi"/>
      <w:color w:val="auto"/>
      <w:sz w:val="22"/>
    </w:rPr>
  </w:style>
  <w:style w:type="paragraph" w:styleId="xxmsolistparagraph" w:customStyle="1">
    <w:name w:val="x_xmsolistparagraph"/>
    <w:basedOn w:val="Normal"/>
    <w:rsid w:val="0018670C"/>
    <w:pPr>
      <w:spacing w:after="0" w:line="240" w:lineRule="auto"/>
      <w:ind w:left="0" w:firstLine="0"/>
    </w:pPr>
    <w:rPr>
      <w:rFonts w:ascii="Calibri" w:hAnsi="Calibri" w:cs="Calibri" w:eastAsiaTheme="minorHAnsi"/>
      <w:color w:val="auto"/>
      <w:sz w:val="22"/>
    </w:rPr>
  </w:style>
  <w:style w:type="paragraph" w:styleId="Header">
    <w:name w:val="header"/>
    <w:basedOn w:val="Normal"/>
    <w:link w:val="HeaderChar"/>
    <w:uiPriority w:val="99"/>
    <w:unhideWhenUsed/>
    <w:rsid w:val="00D024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D02448"/>
    <w:rPr>
      <w:rFonts w:ascii="Arial" w:hAnsi="Arial" w:eastAsia="Arial" w:cs="Arial"/>
      <w:color w:val="000000"/>
      <w:sz w:val="24"/>
    </w:rPr>
  </w:style>
  <w:style w:type="paragraph" w:styleId="Footer">
    <w:name w:val="footer"/>
    <w:basedOn w:val="Normal"/>
    <w:link w:val="FooterChar"/>
    <w:uiPriority w:val="99"/>
    <w:unhideWhenUsed/>
    <w:rsid w:val="00D024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2448"/>
    <w:rPr>
      <w:rFonts w:ascii="Arial" w:hAnsi="Arial" w:eastAsia="Arial" w:cs="Arial"/>
      <w:color w:val="000000"/>
      <w:sz w:val="24"/>
    </w:rPr>
  </w:style>
  <w:style w:type="table" w:styleId="TableGrid0">
    <w:name w:val="Table Grid"/>
    <w:basedOn w:val="TableNormal"/>
    <w:uiPriority w:val="39"/>
    <w:rsid w:val="00D024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3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6/09/relationships/commentsIds" Target="commentsIds.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commentsExtended" Target="commentsExtended.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6" ma:contentTypeDescription="Create a new document." ma:contentTypeScope="" ma:versionID="2682b0ed967ce8e081d41f23cfb21f8a">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25f9d7d8e9262391ca199bbf9dabd76e"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C4132-F0B7-47A0-8196-F54EDDCCE9FB}">
  <ds:schemaRefs>
    <ds:schemaRef ds:uri="Microsoft.SharePoint.Taxonomy.ContentTypeSync"/>
  </ds:schemaRefs>
</ds:datastoreItem>
</file>

<file path=customXml/itemProps2.xml><?xml version="1.0" encoding="utf-8"?>
<ds:datastoreItem xmlns:ds="http://schemas.openxmlformats.org/officeDocument/2006/customXml" ds:itemID="{007B7C22-CB1E-4A58-A36F-B37EDE7C725A}">
  <ds:schemaRefs>
    <ds:schemaRef ds:uri="http://schemas.openxmlformats.org/officeDocument/2006/bibliography"/>
  </ds:schemaRefs>
</ds:datastoreItem>
</file>

<file path=customXml/itemProps3.xml><?xml version="1.0" encoding="utf-8"?>
<ds:datastoreItem xmlns:ds="http://schemas.openxmlformats.org/officeDocument/2006/customXml" ds:itemID="{43CFD5B1-C892-47B1-8707-733871F12F48}">
  <ds:schemaRefs>
    <ds:schemaRef ds:uri="http://schemas.microsoft.com/sharepoint/v3/contenttype/forms"/>
  </ds:schemaRefs>
</ds:datastoreItem>
</file>

<file path=customXml/itemProps4.xml><?xml version="1.0" encoding="utf-8"?>
<ds:datastoreItem xmlns:ds="http://schemas.openxmlformats.org/officeDocument/2006/customXml" ds:itemID="{E1B4841F-C02B-44D2-8B87-5437B9F2D6DD}">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dc008a5-5ed2-4e05-8ecd-f2383eab7cb2"/>
    <ds:schemaRef ds:uri="53e61792-80e9-49b3-ac7d-ef962a816aae"/>
    <ds:schemaRef ds:uri="http://www.w3.org/XML/1998/namespace"/>
    <ds:schemaRef ds:uri="http://purl.org/dc/dcmitype/"/>
    <ds:schemaRef ds:uri="3e24bc36-2db9-4dd4-83ef-e2c9c598d6d6"/>
  </ds:schemaRefs>
</ds:datastoreItem>
</file>

<file path=customXml/itemProps5.xml><?xml version="1.0" encoding="utf-8"?>
<ds:datastoreItem xmlns:ds="http://schemas.openxmlformats.org/officeDocument/2006/customXml" ds:itemID="{A481565F-3EE0-43E9-84B3-ED06A8B2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1792-80e9-49b3-ac7d-ef962a816aae"/>
    <ds:schemaRef ds:uri="7dc008a5-5ed2-4e05-8ecd-f2383eab7cb2"/>
    <ds:schemaRef ds:uri="3e24bc36-2db9-4dd4-83ef-e2c9c598d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NXShaw</dc:creator>
  <keywords/>
  <lastModifiedBy>Natalie Green</lastModifiedBy>
  <revision>5</revision>
  <lastPrinted>2021-09-13T09:52:00.0000000Z</lastPrinted>
  <dcterms:created xsi:type="dcterms:W3CDTF">2022-12-13T15:47:00.0000000Z</dcterms:created>
  <dcterms:modified xsi:type="dcterms:W3CDTF">2023-06-01T13:45:15.2667521Z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y fmtid="{D5CDD505-2E9C-101B-9397-08002B2CF9AE}" pid="3" name="MediaServiceImageTags">
    <vt:lpwstr/>
  </property>
</Properties>
</file>